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-756285</wp:posOffset>
                </wp:positionH>
                <wp:positionV relativeFrom="margin">
                  <wp:posOffset>622935</wp:posOffset>
                </wp:positionV>
                <wp:extent cx="6838950" cy="4448175"/>
                <wp:effectExtent l="19050" t="0" r="0" b="0"/>
                <wp:wrapSquare wrapText="bothSides"/>
                <wp:docPr id="1" name="Рисунок 1" descr="MM_shadow-people-illu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MM_shadow-people-illus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6838950" cy="4448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251659264;o:allowoverlap:true;o:allowincell:true;mso-position-horizontal-relative:margin;margin-left:-59.55pt;mso-position-horizontal:absolute;mso-position-vertical-relative:margin;margin-top:49.05pt;mso-position-vertical:absolute;width:538.50pt;height:350.25pt;mso-wrap-distance-left:9.00pt;mso-wrap-distance-top:0.00pt;mso-wrap-distance-right:9.00pt;mso-wrap-distance-bottom:0.00pt;" stroked="f" strokeweight="0.75pt">
                <v:path textboxrect="0,0,0,0"/>
                <w10:wrap type="square"/>
                <v:imagedata r:id="rId13" o:title=""/>
              </v:shape>
            </w:pict>
          </mc:Fallback>
        </mc:AlternateConten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ИНФОРМАЦИОННЫЙ ВЫПУСК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«Об 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оказании услуг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в сфере государственного кадастрового учета, государственной регистрации прав и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предоставления сведений из ЕГРН</w:t>
      </w:r>
      <w:r>
        <w:rPr>
          <w:rFonts w:ascii="Times New Roman" w:hAnsi="Times New Roman" w:cs="Times New Roman"/>
          <w:b/>
          <w:sz w:val="28"/>
          <w:szCs w:val="28"/>
        </w:rPr>
        <w:t xml:space="preserve">»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ОТДЕЛ ПРАВОВОГО ОБЕСПЕЧЕНИЯ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УПРАВЛЕНИЯ РОСРЕЕСТРА ПО НОВОСИБИРСКОЙ ОБЛАСТИ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 w:clear="all"/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contextualSpacing/>
        <w:ind w:firstLine="708"/>
        <w:jc w:val="both"/>
        <w:rPr>
          <w:rFonts w:ascii="Times New Roman" w:hAnsi="Times New Roman" w:eastAsia="Calibri" w:cs="Times New Roman"/>
          <w:b/>
          <w:bCs/>
          <w:color w:val="000000"/>
          <w14:ligatures w14:val="none"/>
        </w:rPr>
        <w:sectPr>
          <w:headerReference w:type="default" r:id="rId9"/>
          <w:headerReference w:type="first" r:id="rId10"/>
          <w:footerReference w:type="first" r:id="rId11"/>
          <w:footnotePr/>
          <w:endnotePr/>
          <w:type w:val="nextPage"/>
          <w:pgSz w:w="11906" w:h="16838" w:orient="portrait"/>
          <w:pgMar w:top="1134" w:right="850" w:bottom="1134" w:left="1701" w:header="709" w:footer="709" w:gutter="0"/>
          <w:cols w:num="1" w:sep="0" w:space="708" w:equalWidth="1"/>
          <w:docGrid w:linePitch="360"/>
        </w:sect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highlight w:val="none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pStyle w:val="992"/>
        <w:ind w:firstLine="709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Новости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закон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одательства</w:t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pStyle w:val="992"/>
        <w:ind w:firstLine="709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  <w:t xml:space="preserve">1.</w:t>
      </w:r>
      <w:r>
        <w:rPr>
          <w:b/>
          <w:bCs/>
          <w:highlight w:val="none"/>
        </w:rPr>
        <w:t xml:space="preserve"> </w:t>
      </w:r>
      <w:r>
        <w:rPr>
          <w:b/>
          <w:bCs/>
          <w:highlight w:val="none"/>
        </w:rPr>
      </w:r>
      <w:hyperlink r:id="rId14" w:tooltip="https://www.consultant.ru/document/cons_doc_LAW_529530/" w:history="1">
        <w:r>
          <w:rPr>
            <w:b/>
            <w:bCs/>
            <w:highlight w:val="none"/>
          </w:rPr>
          <w:t xml:space="preserve">Федеральный закон от </w:t>
        </w:r>
      </w:hyperlink>
      <w:r>
        <w:rPr>
          <w:b/>
          <w:bCs/>
          <w:highlight w:val="none"/>
        </w:rPr>
        <w:t xml:space="preserve">23.03.2026 № 72-ФЗ «О внесении изменения в статью 67 Градостроительного кодекса Российской Федерации».</w:t>
      </w:r>
      <w:r>
        <w:rPr>
          <w:b/>
          <w:bCs/>
          <w:highlight w:val="none"/>
        </w:rPr>
      </w:r>
      <w:r>
        <w:rPr>
          <w:b/>
          <w:bCs/>
          <w:highlight w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Уточнен порядок указания расчетных показателей в решении о комплексном развитии территории.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случае принятия решения о комплексном развитии территории, которая в соответствии с правилами землепользования и застройки на дату принятия указанного решения не определена в качестве территории, подлежащей комплексному развитию, расчетные показатели мин</w:t>
      </w:r>
      <w:r>
        <w:rPr>
          <w:b w:val="0"/>
          <w:bCs w:val="0"/>
          <w:highlight w:val="none"/>
        </w:rPr>
        <w:t xml:space="preserve">имально допустимого уровня обеспеченности объектами коммунальной, транспортной, социальной инфраструктур и расчетные показатели максимально допустимого уровня территориальной доступности этих объектов для населения </w:t>
      </w:r>
      <w:hyperlink r:id="rId15" w:tooltip="https://newsletters.consultant.ru/link/eyJlbWFpbF9pZCI6IjI0NzY2MCIsImNuIjoiMzI0MzpCTEQ6anVyaXN0IiwibGV0dGVyX2lkIjoiMzI0MyIsInVybCI6Imh0dHBzOlwvXC9sb2dpbi5jb25zdWx0YW50LnJ1XC9saW5rXC8_cmVxPWRvYyZiYXNlPUxBVyZuPTUyOTUzNCZkc3Q9MTAwMDA4JnNlbmQ9MSIsInNjb3BlIjoiQkxEIn0.1/" w:history="1">
        <w:r>
          <w:rPr>
            <w:b w:val="0"/>
            <w:bCs w:val="0"/>
            <w:highlight w:val="none"/>
          </w:rPr>
          <w:t xml:space="preserve">включаются</w:t>
        </w:r>
      </w:hyperlink>
      <w:r>
        <w:rPr>
          <w:b w:val="0"/>
          <w:bCs w:val="0"/>
          <w:highlight w:val="none"/>
        </w:rPr>
        <w:t xml:space="preserve"> в указанное решение в соответствии с региональными или местными нормативами градостроительного проектирования.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  <w:t xml:space="preserve">2. </w:t>
      </w:r>
      <w:hyperlink r:id="rId16" w:tooltip="https://www.consultant.ru/document/cons_doc_LAW_530911/" w:history="1">
        <w:r>
          <w:rPr>
            <w:b/>
            <w:bCs/>
            <w:highlight w:val="none"/>
          </w:rPr>
          <w:t xml:space="preserve">Постановление Правительства РФ от 06.04.2026 № 376                        «О внесении изменений в постановление Правительства Российской Федерации от 7 октября 2019 г. № 1294».</w:t>
        </w:r>
      </w:hyperlink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Актуализирован порядок направления документов в уполномоченные на выдачу разрешений на строительство и (или) на ввод объекта в эксплуатацию органы в электронной форме.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Признаны утратившими силу положения, касающиеся предоставления уполномоченными органами по запросу разрешительных органов в рамках межведомственного информационного взаимодействия документов (их копий или сведений, содержащихся в них) в электронной форме, </w:t>
      </w:r>
      <w:r>
        <w:rPr>
          <w:b w:val="0"/>
          <w:bCs w:val="0"/>
          <w:highlight w:val="none"/>
        </w:rPr>
        <w:t xml:space="preserve">если застройщик не представил такие документы самостоятельно.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Уточнены требования к подписанию документов, направляемых в разрешительные органы.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Настоящее постановление вступает в силу со дня его официального опубликования.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  <w:t xml:space="preserve">3.</w:t>
      </w:r>
      <w:r>
        <w:rPr>
          <w:b/>
          <w:bCs/>
          <w:highlight w:val="none"/>
        </w:rPr>
        <w:t xml:space="preserve"> </w:t>
      </w:r>
      <w:r>
        <w:rPr>
          <w:b/>
          <w:bCs/>
          <w:highlight w:val="none"/>
        </w:rPr>
      </w:r>
      <w:hyperlink r:id="rId17" w:tooltip="https://newsletters.consultant.ru/link/eyJlbWFpbF9pZCI6IjI0NzY2MCIsImNuIjoiMzI5NzpCTEQ6anVyaXN0IiwibGV0dGVyX2lkIjoiMzI5NyIsInVybCI6Imh0dHBzOlwvXC9sb2dpbi5jb25zdWx0YW50LnJ1XC9saW5rXC8_cmVxPWRvYyZiYXNlPUxBVyZuPTUzMjAyOSZkc3Q9MCZzZW5kPTEiLCJzY29wZSI6IkJMRCJ9.1/" w:history="1">
        <w:r>
          <w:rPr>
            <w:b/>
            <w:bCs/>
            <w:highlight w:val="none"/>
          </w:rPr>
          <w:t xml:space="preserve">Постановление Правительства РФ от 15.04.2026 № 415</w:t>
        </w:r>
      </w:hyperlink>
      <w:r>
        <w:rPr>
          <w:b/>
          <w:bCs/>
          <w:highlight w:val="none"/>
        </w:rPr>
        <w:t xml:space="preserve"> </w:t>
      </w:r>
      <w:r>
        <w:rPr>
          <w:b/>
          <w:bCs/>
          <w:highlight w:val="none"/>
        </w:rPr>
        <w:t xml:space="preserve">«О внесении изменения в постановление Правител</w:t>
      </w:r>
      <w:r>
        <w:rPr>
          <w:b/>
          <w:bCs/>
          <w:highlight w:val="none"/>
        </w:rPr>
        <w:t xml:space="preserve">ьства Российской Федерации от 12 ноября 2020 г. № 1816».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</w:r>
      <w:r>
        <w:rPr>
          <w:b w:val="0"/>
          <w:bCs w:val="0"/>
          <w:highlight w:val="none"/>
        </w:rPr>
        <w:t xml:space="preserve">Появится новое основание для строительства без разрешения.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Правительство дополнило </w:t>
      </w:r>
      <w:hyperlink r:id="rId18" w:tooltip="https://newsletters.consultant.ru/link/eyJlbWFpbF9pZCI6IjI0NzY2MCIsImNuIjoiMzI5NzpCTEQ6anVyaXN0IiwibGV0dGVyX2lkIjoiMzI5NyIsInVybCI6Imh0dHBzOlwvXC9sb2dpbi5jb25zdWx0YW50LnJ1XC9saW5rXC8_cmVxPWRvYyZiYXNlPUxBVyZuPTUyNDY2NCZkc3Q9MTAwMDI1JnNlbmQ9MSIsInNjb3BlIjoiQkxEIn0.1/" w:history="1">
        <w:r>
          <w:rPr>
            <w:b w:val="0"/>
            <w:bCs w:val="0"/>
            <w:highlight w:val="none"/>
          </w:rPr>
          <w:t xml:space="preserve">перечень</w:t>
        </w:r>
      </w:hyperlink>
      <w:r>
        <w:rPr>
          <w:b w:val="0"/>
          <w:bCs w:val="0"/>
          <w:highlight w:val="none"/>
        </w:rPr>
        <w:t xml:space="preserve"> случаев, при которых капитальные объекты можно возводить или реконструировать без согласования госорганов.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Поправки</w:t>
      </w:r>
      <w:r>
        <w:rPr>
          <w:b w:val="0"/>
          <w:bCs w:val="0"/>
          <w:highlight w:val="none"/>
        </w:rPr>
        <w:t xml:space="preserve"> вступили в силу 23 апреля 2026 года.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0" w:afterAutospacing="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Разрешение не потребуется, если нужно построить или реконструировать теплогенераторные, которые одновременно отвечают таким требованиям: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pStyle w:val="1005"/>
        <w:numPr>
          <w:ilvl w:val="0"/>
          <w:numId w:val="53"/>
        </w:numPr>
        <w:contextualSpacing/>
        <w:ind w:right="0"/>
        <w:spacing w:after="0" w:afterAutospacing="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имеют блочно-модульную конструкцию;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pStyle w:val="1005"/>
        <w:numPr>
          <w:ilvl w:val="0"/>
          <w:numId w:val="53"/>
        </w:numPr>
        <w:contextualSpacing/>
        <w:ind w:right="0"/>
        <w:spacing w:after="40" w:afterAutospacing="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обладают мощностью до 360 кВт;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pStyle w:val="1005"/>
        <w:numPr>
          <w:ilvl w:val="0"/>
          <w:numId w:val="53"/>
        </w:numPr>
        <w:contextualSpacing/>
        <w:ind w:left="0" w:right="0" w:firstLine="360"/>
        <w:spacing w:after="62" w:afterAutospacing="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предусматривают возможность использовать биотопливо как энергоноситель.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ind w:left="0" w:right="0" w:firstLine="708"/>
        <w:jc w:val="both"/>
        <w:spacing w:before="0" w:after="0" w:line="288" w:lineRule="atLeast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  <w:t xml:space="preserve">4. </w:t>
      </w:r>
      <w:r>
        <w:rPr>
          <w:b/>
          <w:bCs/>
          <w:highlight w:val="none"/>
        </w:rPr>
        <w:t xml:space="preserve">Приказ Росреестра</w:t>
      </w:r>
      <w:r>
        <w:rPr>
          <w:b/>
          <w:bCs/>
          <w:highlight w:val="none"/>
        </w:rPr>
        <w:t xml:space="preserve"> от </w:t>
      </w:r>
      <w:r>
        <w:rPr>
          <w:b/>
          <w:bCs/>
          <w:highlight w:val="none"/>
        </w:rPr>
        <w:t xml:space="preserve">18.12.2025 № П/0447/25 «</w:t>
      </w:r>
      <w:r>
        <w:rPr>
          <w:b/>
          <w:bCs/>
          <w:highlight w:val="none"/>
        </w:rPr>
        <w:t xml:space="preserve">О внесении изменений в приказ Федеральной службы государственной регистрации, кадастра и картографии от 10 ноября 2020 г. № П/0412 «Об утверждении классификатора видов разрешенного использования земельных участков».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Федеральным </w:t>
      </w:r>
      <w:hyperlink r:id="rId19" w:tooltip="https://newsletters.consultant.ru/link/eyJlbWFpbF9pZCI6IjI0NzY2MCIsImNuIjoiMzI3OTpCTEQ6anVyaXN0IiwibGV0dGVyX2lkIjoiMzI3OSIsInVybCI6Imh0dHBzOlwvXC9sb2dpbi5jb25zdWx0YW50LnJ1XC9saW5rXC8_cmVxPWRvYyZiYXNlPUxBVyZuPTUxMTEwNyZkc3Q9MTAwMTY2JnNlbmQ9MSIsInNjb3BlIjoiQkxEIn0.1/" w:history="1">
        <w:r>
          <w:rPr>
            <w:b w:val="0"/>
            <w:bCs w:val="0"/>
            <w:highlight w:val="none"/>
          </w:rPr>
          <w:t xml:space="preserve">законом</w:t>
        </w:r>
      </w:hyperlink>
      <w:r>
        <w:rPr>
          <w:b w:val="0"/>
          <w:bCs w:val="0"/>
          <w:highlight w:val="none"/>
        </w:rPr>
        <w:t xml:space="preserve"> от 31.07.2025 № 295-ФЗ расширены виды разрешенной деятельности в полосе отвода железных дорог.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57" w:afterAutospacing="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связи с этим, уточняется, что к виду разрешенного использования "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0"/>
        <w:spacing w:after="57" w:afterAutospacing="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«обслуживание железнодорожных перевозок» относится: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pStyle w:val="1005"/>
        <w:numPr>
          <w:ilvl w:val="0"/>
          <w:numId w:val="56"/>
        </w:numPr>
        <w:contextualSpacing/>
        <w:ind w:left="0" w:right="0" w:firstLine="709"/>
        <w:spacing w:after="57" w:afterAutospacing="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размещение зданий и сооружений, в том числе ж/д вокзалов и станций, а также устройств и объектов, необходимых для эксплуатации, содержания, строительства, реконструкции, ремонта наземных и подземных зданий, сооружений, устройств и других объектов ж/д транс</w:t>
      </w:r>
      <w:r>
        <w:rPr>
          <w:b w:val="0"/>
          <w:bCs w:val="0"/>
          <w:highlight w:val="none"/>
        </w:rPr>
        <w:t xml:space="preserve">порта;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pStyle w:val="1005"/>
        <w:numPr>
          <w:ilvl w:val="0"/>
          <w:numId w:val="56"/>
        </w:numPr>
        <w:contextualSpacing/>
        <w:ind w:left="0" w:right="0" w:firstLine="709"/>
        <w:spacing w:after="11" w:afterAutospacing="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использование земельных участков полос отвода, не занятых объектами ж/д транспорта, для оказания сопутствующих услуг пассажирам и иным пользователям услугами ж/д транспорта, складирования грузов, устройства погрузочно-разгрузочных площадок, размещения скла</w:t>
      </w:r>
      <w:r>
        <w:rPr>
          <w:b w:val="0"/>
          <w:bCs w:val="0"/>
          <w:highlight w:val="none"/>
        </w:rPr>
        <w:t xml:space="preserve">дов (за исключением складов горюче-смазочных материалов и автозаправочных станций любых типов, а также складов, предназначенных для хранения опасных веществ и материалов), стоянок (парковок) транспортных средств, транспортно-пересадочных узлов и иных целей</w:t>
      </w:r>
      <w:r>
        <w:rPr>
          <w:b w:val="0"/>
          <w:bCs w:val="0"/>
          <w:highlight w:val="none"/>
        </w:rPr>
        <w:t xml:space="preserve"> при условии соблюдения требований безопасности движения, установленных федеральными законами.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709" w:right="0" w:firstLine="0"/>
        <w:spacing w:after="11" w:afterAutospacing="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Приказ вступает в силу </w:t>
      </w:r>
      <w:r>
        <w:rPr>
          <w:b w:val="0"/>
          <w:bCs w:val="0"/>
          <w:highlight w:val="none"/>
        </w:rPr>
        <w:t xml:space="preserve">17.04.2026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jc w:val="both"/>
        <w:rPr>
          <w:b w:val="0"/>
          <w:bCs w:val="0"/>
          <w:highlight w:val="none"/>
        </w:rPr>
      </w:pPr>
      <w:r>
        <w:rPr>
          <w:b/>
          <w:bCs/>
          <w:highlight w:val="none"/>
        </w:rPr>
      </w: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</w:r>
    </w:p>
    <w:p>
      <w:pPr>
        <w:jc w:val="both"/>
        <w:rPr>
          <w:b w:val="0"/>
          <w:bCs w:val="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</w:rPr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jc w:val="both"/>
        <w:rPr>
          <w:b w:val="0"/>
          <w:bCs w:val="0"/>
          <w14:ligatures w14:val="none"/>
        </w:rPr>
        <w:sectPr>
          <w:footnotePr/>
          <w:endnotePr/>
          <w:type w:val="nextPage"/>
          <w:pgSz w:w="11906" w:h="16838" w:orient="portrait"/>
          <w:pgMar w:top="1134" w:right="850" w:bottom="1134" w:left="1701" w:header="709" w:footer="709" w:gutter="0"/>
          <w:cols w:num="1" w:sep="0" w:space="708" w:equalWidth="1"/>
          <w:docGrid w:linePitch="360"/>
        </w:sectPr>
      </w:pPr>
      <w:r>
        <w:rPr>
          <w:b w:val="0"/>
          <w:bCs w:val="0"/>
        </w:rPr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spacing w:line="240" w:lineRule="auto"/>
        <w:rPr>
          <w:b w:val="0"/>
          <w:bCs w:val="0"/>
          <w:color w:val="000000"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292c2f"/>
          <w:highlight w:val="none"/>
          <w14:ligatures w14:val="none"/>
        </w:rPr>
      </w:r>
      <w:r>
        <w:rPr>
          <w:b w:val="0"/>
          <w:bCs w:val="0"/>
          <w:color w:val="000000"/>
          <w:lang w:eastAsia="ru-RU"/>
          <w14:ligatures w14:val="none"/>
        </w:rPr>
      </w:r>
      <w:r>
        <w:rPr>
          <w:b w:val="0"/>
          <w:bCs w:val="0"/>
          <w:color w:val="000000"/>
          <w:lang w:eastAsia="ru-RU"/>
          <w14:ligatures w14:val="none"/>
        </w:rPr>
      </w:r>
    </w:p>
    <w:p>
      <w:pPr>
        <w:pStyle w:val="992"/>
        <w:ind w:left="1069" w:firstLine="0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И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нформационные письма и разъяснения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в сфере государственного кадастрового учета и (или) государственной регистрации пр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ав, материалы судебной практики</w:t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pStyle w:val="992"/>
        <w:ind w:left="1069" w:firstLine="0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ind w:left="0" w:right="0" w:firstLine="708"/>
        <w:jc w:val="both"/>
        <w:spacing w:before="0" w:after="0" w:line="288" w:lineRule="atLeast"/>
        <w:rPr>
          <w:rFonts w:eastAsia="Times New Roman"/>
          <w:b/>
          <w:bCs/>
          <w:shd w:val="clear" w:color="auto" w:fill="ffffff"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shd w:val="clear" w:color="auto" w:fill="ffffff"/>
          <w:lang w:eastAsia="ru-RU"/>
        </w:rPr>
        <w:t xml:space="preserve">1.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П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ис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ьмо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Р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осреестр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а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10.04.2026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№ 01-37-3593/26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письмо Росреестра от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08.04.2026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№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11-3764-АБ/26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относительно образования многоконтурных земельных участков на основании ранее подготовленной документации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(проекта межевания территории, схемы расположения земельного участка и (или) земельных у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частков на кадастровом плане территории, проектной документации лесных участков). </w:t>
      </w:r>
      <w:r>
        <w:rPr>
          <w:rFonts w:eastAsia="Times New Roman"/>
          <w:b/>
          <w:bCs/>
          <w:shd w:val="clear" w:color="auto" w:fill="ffffff"/>
          <w:lang w:eastAsia="ru-RU"/>
          <w14:ligatures w14:val="none"/>
        </w:rPr>
      </w:r>
      <w:r>
        <w:rPr>
          <w:rFonts w:eastAsia="Times New Roman"/>
          <w:b/>
          <w:bCs/>
          <w:shd w:val="clear" w:color="auto" w:fill="ffffff"/>
          <w:lang w:eastAsia="ru-RU"/>
          <w14:ligatures w14:val="none"/>
        </w:rPr>
      </w:r>
    </w:p>
    <w:p>
      <w:pPr>
        <w:ind w:left="0" w:right="0" w:firstLine="708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574861" cy="6471214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7738949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 flipH="0" flipV="0">
                          <a:off x="0" y="0"/>
                          <a:ext cx="4574860" cy="647121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360.23pt;height:509.54pt;mso-wrap-distance-left:0.00pt;mso-wrap-distance-top:0.00pt;mso-wrap-distance-right:0.00pt;mso-wrap-distance-bottom:0.00pt;" stroked="false">
                <v:path textboxrect="0,0,0,0"/>
                <v:imagedata r:id="rId20" o:title=""/>
              </v:shape>
            </w:pict>
          </mc:Fallback>
        </mc:AlternateContent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7542714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21" o:title=""/>
              </v:shape>
            </w:pict>
          </mc:Fallback>
        </mc:AlternateContent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highlight w:val="none"/>
          <w:shd w:val="clear" w:color="auto" w:fill="ffffff"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shd w:val="clear" w:color="auto" w:fill="ffffff"/>
          <w:lang w:eastAsia="ru-RU"/>
        </w:rPr>
        <w:t xml:space="preserve">2.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Письмо Рос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реестра от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15.04.2026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№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14-4104-ЛЛ/26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о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разъяснении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отдельных вопросов, связанн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ы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х с реализацией положений Федерального закона от 31.07.2025 № 295-ФЗ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«О внесении изменений в Земельный кодекс Российской Федерации, отдельные законодательные акты Российской Федерации и признании утратившими силу отдельных полож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ений законодательных актов Российской Федерации».</w:t>
      </w:r>
      <w:r>
        <w:rPr>
          <w:rFonts w:eastAsia="Times New Roman"/>
          <w:b/>
          <w:bCs/>
          <w:highlight w:val="none"/>
          <w:shd w:val="clear" w:color="auto" w:fill="ffffff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shd w:val="clear" w:color="auto" w:fill="ffffff"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274900" cy="7461431"/>
                <wp:effectExtent l="0" t="0" r="0" b="0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0471103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 flipH="0" flipV="0">
                          <a:off x="0" y="0"/>
                          <a:ext cx="5274900" cy="74614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15.35pt;height:587.51pt;mso-wrap-distance-left:0.00pt;mso-wrap-distance-top:0.00pt;mso-wrap-distance-right:0.00pt;mso-wrap-distance-bottom:0.00pt;" stroked="false">
                <v:path textboxrect="0,0,0,0"/>
                <v:imagedata r:id="rId22" o:title=""/>
              </v:shape>
            </w:pict>
          </mc:Fallback>
        </mc:AlternateContent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8350574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23" o:title=""/>
              </v:shape>
            </w:pict>
          </mc:Fallback>
        </mc:AlternateContent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8116873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24" o:title=""/>
              </v:shape>
            </w:pict>
          </mc:Fallback>
        </mc:AlternateContent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9970379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5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25" o:title=""/>
              </v:shape>
            </w:pict>
          </mc:Fallback>
        </mc:AlternateContent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3137059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26" o:title=""/>
              </v:shape>
            </w:pict>
          </mc:Fallback>
        </mc:AlternateContent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left="0" w:right="0" w:firstLine="709"/>
        <w:jc w:val="both"/>
        <w:spacing w:before="0" w:after="0" w:line="288" w:lineRule="atLeast"/>
        <w:rPr>
          <w:rFonts w:eastAsia="Times New Roman"/>
          <w:b/>
          <w:bCs/>
          <w:lang w:eastAsia="ru-RU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eastAsia="Times New Roman"/>
          <w:b/>
          <w:bCs/>
          <w:highlight w:val="none"/>
          <w:shd w:val="clear" w:color="auto" w:fill="ffffff"/>
          <w:lang w:eastAsia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402827"/>
                <wp:effectExtent l="0" t="0" r="0" b="0"/>
                <wp:docPr id="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2305006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5940423" cy="8402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67.75pt;height:661.64pt;mso-wrap-distance-left:0.00pt;mso-wrap-distance-top:0.00pt;mso-wrap-distance-right:0.00pt;mso-wrap-distance-bottom:0.00pt;" stroked="false">
                <v:path textboxrect="0,0,0,0"/>
                <v:imagedata r:id="rId27" o:title=""/>
              </v:shape>
            </w:pict>
          </mc:Fallback>
        </mc:AlternateContent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ind w:firstLine="0"/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shd w:val="clear" w:color="auto" w:fill="ffffff"/>
          <w:lang w:eastAsia="ru-RU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ind w:firstLine="0"/>
        <w:spacing w:line="240" w:lineRule="auto"/>
        <w:rPr>
          <w:b/>
          <w:bCs/>
          <w:color w:val="000000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ectPr>
          <w:footnotePr/>
          <w:endnotePr/>
          <w:type w:val="nextPage"/>
          <w:pgSz w:w="11906" w:h="16838" w:orient="portrait"/>
          <w:pgMar w:top="1134" w:right="850" w:bottom="1134" w:left="1701" w:header="709" w:footer="709" w:gutter="0"/>
          <w:cols w:num="1" w:sep="0" w:space="708" w:equalWidth="1"/>
          <w:docGrid w:linePitch="360"/>
        </w:sectPr>
      </w:pPr>
      <w:r>
        <w:rPr>
          <w:b/>
          <w:bCs/>
          <w:color w:val="000000"/>
          <w14:ligatures w14:val="none"/>
        </w:rPr>
      </w:r>
      <w:r>
        <w:rPr>
          <w:b/>
          <w:bCs/>
          <w:color w:val="000000"/>
          <w14:ligatures w14:val="none"/>
        </w:rPr>
      </w:r>
      <w:r>
        <w:rPr>
          <w:b/>
          <w:bCs/>
          <w:color w:val="000000"/>
          <w14:ligatures w14:val="none"/>
        </w:rPr>
      </w:r>
    </w:p>
    <w:p>
      <w:pPr>
        <w:ind w:firstLine="708"/>
        <w:jc w:val="both"/>
        <w:rPr>
          <w:rFonts w:ascii="Times New Roman" w:hAnsi="Times New Roman" w:cs="Times New Roman"/>
          <w:b/>
          <w:bCs/>
          <w:i/>
          <w:sz w:val="28"/>
          <w:szCs w:val="28"/>
          <w:highlight w:val="none"/>
          <w14:ligatures w14:val="none"/>
        </w:rPr>
      </w:pPr>
      <w:r>
        <w:rPr>
          <w:rStyle w:val="997"/>
          <w:rFonts w:ascii="Times New Roman" w:hAnsi="Times New Roman" w:cs="Times New Roman"/>
          <w:b/>
          <w:i/>
          <w:sz w:val="28"/>
          <w:szCs w:val="28"/>
        </w:rPr>
        <w:t xml:space="preserve">Новости информационных сайтов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Минэкономразвития России</w:t>
      </w:r>
      <w:r>
        <w:rPr>
          <w:rStyle w:val="997"/>
          <w:rFonts w:ascii="Times New Roman" w:hAnsi="Times New Roman" w:cs="Times New Roman"/>
          <w:b/>
          <w:i/>
          <w:sz w:val="28"/>
          <w:szCs w:val="28"/>
        </w:rPr>
        <w:t xml:space="preserve">, Росреестра и Управления Росреестра по Новосибирской области</w:t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  <w14:ligatures w14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  <w14:ligatures w14:val="none"/>
        </w:rPr>
      </w:r>
    </w:p>
    <w:p>
      <w:pPr>
        <w:jc w:val="both"/>
        <w:rPr>
          <w:b/>
          <w:bCs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14:ligatures w14:val="none"/>
        </w:rPr>
      </w:r>
      <w:r>
        <w:rPr>
          <w:b/>
          <w:bCs/>
          <w14:ligatures w14:val="none"/>
        </w:rPr>
      </w:r>
      <w:r>
        <w:rPr>
          <w:b/>
          <w:bCs/>
          <w14:ligatures w14:val="none"/>
        </w:rPr>
      </w:r>
    </w:p>
    <w:p>
      <w:pPr>
        <w:ind w:left="0" w:right="0" w:firstLine="709"/>
        <w:spacing w:before="0" w:after="0" w:line="240" w:lineRule="auto"/>
        <w:rPr>
          <w:b/>
          <w:bCs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  <w:t xml:space="preserve">1. </w:t>
      </w:r>
      <w:r>
        <w:rPr>
          <w:b/>
          <w:bCs/>
          <w:color w:val="000000" w:themeColor="text1"/>
          <w14:ligatures w14:val="none"/>
        </w:rPr>
        <w:t xml:space="preserve">Росреестр выявил свыше 12,7 тыс. ошибок в названиях географических объектов на дорожных знаках и в онлайн-сервисах.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Территориальные органы Росреестра с 2020 по 2025 годы выявили более </w:t>
      </w:r>
      <w:r>
        <w:rPr>
          <w:b w:val="0"/>
          <w:bCs w:val="0"/>
          <w:color w:val="000000" w:themeColor="text1"/>
          <w14:ligatures w14:val="none"/>
        </w:rPr>
        <w:t xml:space="preserve">12,7</w:t>
      </w:r>
      <w:r>
        <w:rPr>
          <w:b w:val="0"/>
          <w:bCs w:val="0"/>
          <w:color w:val="000000" w:themeColor="text1"/>
          <w14:ligatures w14:val="none"/>
        </w:rPr>
        <w:t xml:space="preserve"> тыс. нарушений правил употребления наименований географических объектов в онлайн-сервисах, картографических изданиях и на дорожных знаках. Работа ведется в рамках федерального государственного контроля (надзора) в области геодезии и картографии, который о</w:t>
      </w:r>
      <w:r>
        <w:rPr>
          <w:b w:val="0"/>
          <w:bCs w:val="0"/>
          <w:color w:val="000000" w:themeColor="text1"/>
          <w14:ligatures w14:val="none"/>
        </w:rPr>
        <w:t xml:space="preserve">существляет ведомство.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Мероприятия направлены на обеспечение защиты наименований географических объектов как составной части исторического и культурного наследия народов России. Произвольная замена и употребление искаженных наименований географических объектов не допускаются.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«</w:t>
      </w:r>
      <w:r>
        <w:rPr>
          <w:b w:val="0"/>
          <w:bCs w:val="0"/>
          <w:color w:val="000000" w:themeColor="text1"/>
          <w14:ligatures w14:val="none"/>
        </w:rPr>
        <w:t xml:space="preserve">Сотрудники территориальных органов Росреестра регулярно проверяют картографические сервисы в сети, дорожные знаки, землеустроительную документацию – на предмет правильного употребления наименований географических объектов. Также проверяются учебные атласы,</w:t>
      </w:r>
      <w:r>
        <w:rPr>
          <w:b w:val="0"/>
          <w:bCs w:val="0"/>
          <w:color w:val="000000" w:themeColor="text1"/>
          <w14:ligatures w14:val="none"/>
        </w:rPr>
        <w:t xml:space="preserve"> карты и соответствующие печатные издания. В результате с 2020 года выявлено более </w:t>
      </w:r>
      <w:r>
        <w:rPr>
          <w:b w:val="0"/>
          <w:bCs w:val="0"/>
          <w:color w:val="000000" w:themeColor="text1"/>
          <w14:ligatures w14:val="none"/>
        </w:rPr>
        <w:t xml:space="preserve">12,7 </w:t>
      </w:r>
      <w:r>
        <w:rPr>
          <w:b w:val="0"/>
          <w:bCs w:val="0"/>
          <w:color w:val="000000" w:themeColor="text1"/>
          <w14:ligatures w14:val="none"/>
        </w:rPr>
        <w:t xml:space="preserve">тыс. нарушений правил употребления названий географических объектов, из них более </w:t>
      </w:r>
      <w:r>
        <w:rPr>
          <w:b w:val="0"/>
          <w:bCs w:val="0"/>
          <w:color w:val="000000" w:themeColor="text1"/>
          <w14:ligatures w14:val="none"/>
        </w:rPr>
        <w:t xml:space="preserve">1,7 </w:t>
      </w:r>
      <w:r>
        <w:rPr>
          <w:b w:val="0"/>
          <w:bCs w:val="0"/>
          <w:color w:val="000000" w:themeColor="text1"/>
          <w14:ligatures w14:val="none"/>
        </w:rPr>
        <w:t xml:space="preserve">тыс. – в 2025 году. Наибольшее количество подобных нарушений выявили управления Росреестра по Московской, Кировской областям, Республике Саха (Якутия)</w:t>
      </w:r>
      <w:r>
        <w:rPr>
          <w:b w:val="0"/>
          <w:bCs w:val="0"/>
          <w:color w:val="000000" w:themeColor="text1"/>
          <w14:ligatures w14:val="none"/>
        </w:rPr>
        <w:t xml:space="preserve">», - сообщил заместитель руководителя Росреестра </w:t>
      </w:r>
      <w:r>
        <w:rPr>
          <w:b w:val="0"/>
          <w:bCs w:val="0"/>
          <w:color w:val="000000" w:themeColor="text1"/>
          <w14:ligatures w14:val="none"/>
        </w:rPr>
        <w:t xml:space="preserve">Максим Смирнов</w:t>
      </w:r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На территории Московской области большая часть нарушений обнаружена на популярных картографических сервисах и дорожных знаках.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В Кировской области наибольшее количество нарушений выявлено на дорожных знаках и указателях. Проверка была организована с помощью сервиса «панорамы» в «Яндекс.Картах». Затем выявленные ошибки подтверждались специалистами на местах.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В Якутии ошибки в названиях географических объектов обнаружили в нормативных правовых актах, в землеустроительных делах и на дорожных знаках.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При выявлении признаков нарушений сотрудники объявляли предостережения о недопустимости нарушений обязательных требований, направляли в уполномоченные органы и организации письма об устранении разночтений в употреблении наименований в официальных документа</w:t>
      </w:r>
      <w:r>
        <w:rPr>
          <w:b w:val="0"/>
          <w:bCs w:val="0"/>
          <w:color w:val="000000" w:themeColor="text1"/>
          <w14:ligatures w14:val="none"/>
        </w:rPr>
        <w:t xml:space="preserve">х.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Кроме того, в ходе мероприятий территориальные органы Росреестра выявляли существующие наименования географических объектов, сведения о которых отсутствуют в Государственном каталоге географических названий. Данные сведения направлялись в ППК «Роскадастр»,</w:t>
      </w:r>
      <w:r>
        <w:rPr>
          <w:b w:val="0"/>
          <w:bCs w:val="0"/>
          <w:color w:val="000000" w:themeColor="text1"/>
          <w14:ligatures w14:val="none"/>
        </w:rPr>
        <w:t xml:space="preserve"> которая является оператором Государственного каталога географических названий.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Напомним, что при обнаружении ошибок в наименованиях географических объектов в документах, изданиях, на дорожных знаках и указателях граждане могут сообщить об этом в территориальные органы Росреестра. Адреса и телефоны для связи можно уточнить на официаль</w:t>
      </w:r>
      <w:r>
        <w:rPr>
          <w:b w:val="0"/>
          <w:bCs w:val="0"/>
          <w:color w:val="000000" w:themeColor="text1"/>
          <w14:ligatures w14:val="none"/>
        </w:rPr>
        <w:t xml:space="preserve">ном сайте </w:t>
      </w:r>
      <w:hyperlink r:id="rId28" w:tooltip="https://rosreestr.gov.ru/about/struct/territorialnye-organy/" w:history="1">
        <w:r>
          <w:rPr>
            <w:b w:val="0"/>
            <w:bCs w:val="0"/>
            <w:color w:val="000000" w:themeColor="text1"/>
            <w14:ligatures w14:val="none"/>
          </w:rPr>
          <w:t xml:space="preserve">Росреестра</w:t>
        </w:r>
      </w:hyperlink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/>
          <w:bCs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  <w:t xml:space="preserve">2. </w:t>
      </w:r>
      <w:r>
        <w:rPr>
          <w:b/>
          <w:bCs/>
          <w:color w:val="000000" w:themeColor="text1"/>
          <w14:ligatures w14:val="none"/>
        </w:rPr>
        <w:t xml:space="preserve">Олег Скуфинский на заседании Экономического совета СНГ представил результаты проекта по созданию Геопортала СНГ.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В Москве состоялось 109-е заседание Экономического совета Содружества Независимых Государств под председательством Первого заместителя Премьер-министра Республики Таджикистан </w:t>
      </w:r>
      <w:r>
        <w:rPr>
          <w:b w:val="0"/>
          <w:bCs w:val="0"/>
          <w:color w:val="000000" w:themeColor="text1"/>
          <w14:ligatures w14:val="none"/>
        </w:rPr>
        <w:t xml:space="preserve">Хокима Холикзоды</w:t>
      </w:r>
      <w:r>
        <w:rPr>
          <w:b w:val="0"/>
          <w:bCs w:val="0"/>
          <w:color w:val="000000" w:themeColor="text1"/>
          <w14:ligatures w14:val="none"/>
        </w:rPr>
        <w:t xml:space="preserve"> и с участием Генерального секретаря СНГ </w:t>
      </w:r>
      <w:r>
        <w:rPr>
          <w:b w:val="0"/>
          <w:bCs w:val="0"/>
          <w:color w:val="000000" w:themeColor="text1"/>
          <w14:ligatures w14:val="none"/>
        </w:rPr>
        <w:t xml:space="preserve">Сергея Лебедева</w:t>
      </w:r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На мероприятии выступил руководитель Росреестра </w:t>
      </w:r>
      <w:r>
        <w:rPr>
          <w:b w:val="0"/>
          <w:bCs w:val="0"/>
          <w:color w:val="000000" w:themeColor="text1"/>
          <w14:ligatures w14:val="none"/>
        </w:rPr>
        <w:t xml:space="preserve">Олег Скуфинский</w:t>
      </w:r>
      <w:r>
        <w:rPr>
          <w:b w:val="0"/>
          <w:bCs w:val="0"/>
          <w:color w:val="000000" w:themeColor="text1"/>
          <w14:ligatures w14:val="none"/>
        </w:rPr>
        <w:t xml:space="preserve">, который доложил о ходе реализации Межгосударственной программы сотрудничества государств – участников СНГ в сфере геодезии, картографии, пространственных данных, геоинформационных технологий, ДЗЗ, кадастрового учета и регистрации прав на недвижимость на </w:t>
      </w:r>
      <w:r>
        <w:rPr>
          <w:b w:val="0"/>
          <w:bCs w:val="0"/>
          <w:color w:val="000000" w:themeColor="text1"/>
          <w14:ligatures w14:val="none"/>
        </w:rPr>
        <w:t xml:space="preserve">период до 2026 года.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Программа разработана в рамках деятельности профильного Межгосударственного совета, утверждена решением Совета глав правительств СНГ 26 октября 2023 года и включает в себя комплекс мероприятий, состоящий из трех подпрограмм. В рамках первой подпрограммы ре</w:t>
      </w:r>
      <w:r>
        <w:rPr>
          <w:b w:val="0"/>
          <w:bCs w:val="0"/>
          <w:color w:val="000000" w:themeColor="text1"/>
          <w14:ligatures w14:val="none"/>
        </w:rPr>
        <w:t xml:space="preserve">ализован совместный проект по созданию Геопортала СНГ.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«Геопортал СНГ - первый межгосударственный проект в области пространственных данных, который решает ряд важных социально и экономически значимых задач на пространстве Содружества. Геопортал введен в эксплуатацию в 2026 году и обеспечивает централизованный </w:t>
      </w:r>
      <w:r>
        <w:rPr>
          <w:b w:val="0"/>
          <w:bCs w:val="0"/>
          <w:color w:val="000000" w:themeColor="text1"/>
          <w14:ligatures w14:val="none"/>
        </w:rPr>
        <w:t xml:space="preserve">доступ к пространственным данным, справочной информации и прикладным сервисам в единой цифровой среде. По состоянию на начало апреля на платформе размещены </w:t>
      </w:r>
      <w:r>
        <w:rPr>
          <w:b w:val="0"/>
          <w:bCs w:val="0"/>
          <w:color w:val="000000" w:themeColor="text1"/>
          <w14:ligatures w14:val="none"/>
        </w:rPr>
        <w:t xml:space="preserve">48</w:t>
      </w:r>
      <w:r>
        <w:rPr>
          <w:b w:val="0"/>
          <w:bCs w:val="0"/>
          <w:color w:val="000000" w:themeColor="text1"/>
          <w14:ligatures w14:val="none"/>
        </w:rPr>
        <w:t xml:space="preserve"> базовых тематических слоев, около </w:t>
      </w:r>
      <w:r>
        <w:rPr>
          <w:b w:val="0"/>
          <w:bCs w:val="0"/>
          <w:color w:val="000000" w:themeColor="text1"/>
          <w14:ligatures w14:val="none"/>
        </w:rPr>
        <w:t xml:space="preserve">15</w:t>
      </w:r>
      <w:r>
        <w:rPr>
          <w:b w:val="0"/>
          <w:bCs w:val="0"/>
          <w:color w:val="000000" w:themeColor="text1"/>
          <w14:ligatures w14:val="none"/>
        </w:rPr>
        <w:t xml:space="preserve"> млн объектов, Геопорталом и его сервисами воспользовались более </w:t>
      </w:r>
      <w:r>
        <w:rPr>
          <w:b w:val="0"/>
          <w:bCs w:val="0"/>
          <w:color w:val="000000" w:themeColor="text1"/>
          <w14:ligatures w14:val="none"/>
        </w:rPr>
        <w:t xml:space="preserve">20</w:t>
      </w:r>
      <w:r>
        <w:rPr>
          <w:b w:val="0"/>
          <w:bCs w:val="0"/>
          <w:color w:val="000000" w:themeColor="text1"/>
          <w14:ligatures w14:val="none"/>
        </w:rPr>
        <w:t xml:space="preserve"> тыс. пользователей», - </w:t>
      </w:r>
      <w:r>
        <w:rPr>
          <w:b w:val="0"/>
          <w:bCs w:val="0"/>
          <w:color w:val="000000" w:themeColor="text1"/>
          <w14:ligatures w14:val="none"/>
        </w:rPr>
        <w:t xml:space="preserve">сказал</w:t>
      </w:r>
      <w:r>
        <w:rPr>
          <w:b w:val="0"/>
          <w:bCs w:val="0"/>
          <w:color w:val="000000" w:themeColor="text1"/>
          <w14:ligatures w14:val="none"/>
        </w:rPr>
        <w:t xml:space="preserve"> </w:t>
      </w:r>
      <w:r>
        <w:rPr>
          <w:b w:val="0"/>
          <w:bCs w:val="0"/>
          <w:color w:val="000000" w:themeColor="text1"/>
          <w14:ligatures w14:val="none"/>
        </w:rPr>
        <w:t xml:space="preserve">Олег Скуфинский</w:t>
      </w:r>
      <w:r>
        <w:rPr>
          <w:b w:val="0"/>
          <w:bCs w:val="0"/>
          <w:color w:val="000000" w:themeColor="text1"/>
          <w14:ligatures w14:val="none"/>
        </w:rPr>
        <w:t xml:space="preserve">,</w:t>
      </w:r>
      <w:r>
        <w:rPr>
          <w:b w:val="0"/>
          <w:bCs w:val="0"/>
          <w:color w:val="000000" w:themeColor="text1"/>
          <w14:ligatures w14:val="none"/>
        </w:rPr>
        <w:t xml:space="preserve"> </w:t>
      </w:r>
      <w:r>
        <w:rPr>
          <w:b w:val="0"/>
          <w:bCs w:val="0"/>
          <w:color w:val="000000" w:themeColor="text1"/>
          <w14:ligatures w14:val="none"/>
        </w:rPr>
        <w:t xml:space="preserve">поблагодарив всех руководителей картографо-геодезических ведомств стран Содружества за продуктивную совместную работу.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В рамках первой очереди Геопортала пользователи получили доступ к открытым пространственным данным на территорию Беларуси, Киргизии и России. В 2026-2027 годах к платформе будут поэтапно подключены другие страны Содружества, принимающие участие в проекте (</w:t>
      </w:r>
      <w:r>
        <w:rPr>
          <w:b w:val="0"/>
          <w:bCs w:val="0"/>
          <w:color w:val="000000" w:themeColor="text1"/>
          <w14:ligatures w14:val="none"/>
        </w:rPr>
        <w:t xml:space="preserve">Армения, Казахстан, Таджикистан и Узбекистан).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Руководитель Росреестра</w:t>
      </w:r>
      <w:r>
        <w:rPr>
          <w:b w:val="0"/>
          <w:bCs w:val="0"/>
          <w:color w:val="000000" w:themeColor="text1"/>
          <w14:ligatures w14:val="none"/>
        </w:rPr>
        <w:t xml:space="preserve"> продемонстрировал участникам заседания работу Геопортала. Ключевым элементом геоинформационной платформы является электронная картографическая основа, которая представляет собой сшитые между собой официальные электронные карты стран. На текущий момент на </w:t>
      </w:r>
      <w:r>
        <w:rPr>
          <w:b w:val="0"/>
          <w:bCs w:val="0"/>
          <w:color w:val="000000" w:themeColor="text1"/>
          <w14:ligatures w14:val="none"/>
        </w:rPr>
        <w:t xml:space="preserve">Геопортале размещены картографические основы и ортофотопланы Российской Федерации и Республики Беларусь.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Отдельно </w:t>
      </w:r>
      <w:r>
        <w:rPr>
          <w:b w:val="0"/>
          <w:bCs w:val="0"/>
          <w:color w:val="000000" w:themeColor="text1"/>
          <w14:ligatures w14:val="none"/>
        </w:rPr>
        <w:t xml:space="preserve">Олег Скуфинский</w:t>
      </w:r>
      <w:r>
        <w:rPr>
          <w:b w:val="0"/>
          <w:bCs w:val="0"/>
          <w:color w:val="000000" w:themeColor="text1"/>
          <w14:ligatures w14:val="none"/>
        </w:rPr>
        <w:t xml:space="preserve"> остановился на сервисах в сфере туризма и инвестиций. Первый позволяет выбрать маршрут с учетом важных для пользователя объектов, локаций, сохранить «проработанные» маршруты в истории и получить краткую информацию о выбранном объекте.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Второй будет полезен для реализации инвестиционных проектов в странах Содружества. Он поможет узнать информацию об объектах недвижимости, выставленных на продажу, для дальнейшего анализа и принятия решения. Также на платформе доступны сервисы «Я – студент»</w:t>
      </w:r>
      <w:r>
        <w:rPr>
          <w:b w:val="0"/>
          <w:bCs w:val="0"/>
          <w:color w:val="000000" w:themeColor="text1"/>
          <w14:ligatures w14:val="none"/>
        </w:rPr>
        <w:t xml:space="preserve"> и «Я - работник», помогающие определиться с выбором учебного заведения и решить вопросы с трудоустройством.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Как отметил </w:t>
      </w:r>
      <w:r>
        <w:rPr>
          <w:b w:val="0"/>
          <w:bCs w:val="0"/>
          <w:color w:val="000000" w:themeColor="text1"/>
          <w14:ligatures w14:val="none"/>
        </w:rPr>
        <w:t xml:space="preserve">руководитель Росреестра</w:t>
      </w:r>
      <w:r>
        <w:rPr>
          <w:b w:val="0"/>
          <w:bCs w:val="0"/>
          <w:color w:val="000000" w:themeColor="text1"/>
          <w14:ligatures w14:val="none"/>
        </w:rPr>
        <w:t xml:space="preserve">, в перспективе на базе Геопортала планируется создание </w:t>
      </w:r>
      <w:r>
        <w:rPr>
          <w:b w:val="0"/>
          <w:bCs w:val="0"/>
          <w:color w:val="000000" w:themeColor="text1"/>
          <w14:ligatures w14:val="none"/>
        </w:rPr>
        <w:t xml:space="preserve">Цифрового атласа СНГ</w:t>
      </w:r>
      <w:r>
        <w:rPr>
          <w:b w:val="0"/>
          <w:bCs w:val="0"/>
          <w:color w:val="000000" w:themeColor="text1"/>
          <w14:ligatures w14:val="none"/>
        </w:rPr>
        <w:t xml:space="preserve">, который позволит в несколько кликов получать необходимые открытые пространственные данные Содружества, сформированные по тематикам (например, «Природа и экология», «Население и экономика», «История и культура»). Цифровой атлас СНГ можно будет использоват</w:t>
      </w:r>
      <w:r>
        <w:rPr>
          <w:b w:val="0"/>
          <w:bCs w:val="0"/>
          <w:color w:val="000000" w:themeColor="text1"/>
          <w14:ligatures w14:val="none"/>
        </w:rPr>
        <w:t xml:space="preserve">ь в образовательных и научных целях, как инструмент развития экономики, туризма, привлечения инвестиций и других сфер деятельности на пространстве Содружества.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Помимо этого, наиболее приоритетными задачами остаются заключение межведомственных соглашений с Арменией, Казахстаном, Узбекистаном в целях наполнения Геопортала СНГ наборами открытых пространственных данных, а также присоединение к проекту Азербайджанской</w:t>
      </w:r>
      <w:r>
        <w:rPr>
          <w:b w:val="0"/>
          <w:bCs w:val="0"/>
          <w:color w:val="000000" w:themeColor="text1"/>
          <w14:ligatures w14:val="none"/>
        </w:rPr>
        <w:t xml:space="preserve"> Республики и Туркменистана. Эту работу необходимо завершить до конца текущего года.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Руководитель Росреестра</w:t>
      </w:r>
      <w:r>
        <w:rPr>
          <w:b w:val="0"/>
          <w:bCs w:val="0"/>
          <w:color w:val="000000" w:themeColor="text1"/>
          <w14:ligatures w14:val="none"/>
        </w:rPr>
        <w:t xml:space="preserve"> также сообщил, что в рамках второй подпрограммы Межгосударственной программы совместно с коллегами обеспечен обмен лучшими практиками и научно-техническое сотрудничество в рамках проектов «Инфраструктура пространственных данных (ИПД) СНГ, «Геодезия СНГ», </w:t>
      </w:r>
      <w:r>
        <w:rPr>
          <w:b w:val="0"/>
          <w:bCs w:val="0"/>
          <w:color w:val="000000" w:themeColor="text1"/>
          <w14:ligatures w14:val="none"/>
        </w:rPr>
        <w:t xml:space="preserve">«Картография СНГ», а также проведены три стратегические сессии по развитию деятельности отраслевого Межгоссовета и Геопортала СНГ. Это позволило совместно проанализировать текущее состояние отраслей и подготовить соответствующие предложения по их развитию </w:t>
      </w:r>
      <w:r>
        <w:rPr>
          <w:b w:val="0"/>
          <w:bCs w:val="0"/>
          <w:color w:val="000000" w:themeColor="text1"/>
          <w14:ligatures w14:val="none"/>
        </w:rPr>
        <w:t xml:space="preserve">в странах Содружества, включая разработку проекта новой Межгосударственной программы на период до 2030 и перспективу 2036 года.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По третьей подпрограмме обеспечено развитие системы образования и кадрового потенциала государств – участников СНГ в сфере геодезии, картографии, кадастра, пространственных данных и геоинформационных технологий. Обучение уже прошли </w:t>
      </w:r>
      <w:r>
        <w:rPr>
          <w:b w:val="0"/>
          <w:bCs w:val="0"/>
          <w:color w:val="000000" w:themeColor="text1"/>
          <w14:ligatures w14:val="none"/>
        </w:rPr>
        <w:t xml:space="preserve">689</w:t>
      </w:r>
      <w:r>
        <w:rPr>
          <w:b w:val="0"/>
          <w:bCs w:val="0"/>
          <w:color w:val="000000" w:themeColor="text1"/>
          <w14:ligatures w14:val="none"/>
        </w:rPr>
        <w:t xml:space="preserve"> специалистов из Армении, Беларуси, Казахстана, Киргизии, Таджикистана и Узбекистана по программам высшего и дополнительного профессионального образования.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В завершение своего выступления </w:t>
      </w:r>
      <w:r>
        <w:rPr>
          <w:b w:val="0"/>
          <w:bCs w:val="0"/>
          <w:color w:val="000000" w:themeColor="text1"/>
          <w14:ligatures w14:val="none"/>
        </w:rPr>
        <w:t xml:space="preserve">Олег Скуфинский</w:t>
      </w:r>
      <w:r>
        <w:rPr>
          <w:b w:val="0"/>
          <w:bCs w:val="0"/>
          <w:color w:val="000000" w:themeColor="text1"/>
          <w14:ligatures w14:val="none"/>
        </w:rPr>
        <w:t xml:space="preserve"> попросил коллег ускорить передачу данных открытого пользования для развития Геопортала во всех странах Содружества.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Стратегически важной задачей является формирование новой Межгоспрограммы сотрудничества до 2030 года и на перспективу до 2036 года и её утверждение на уровне глав правительств Содружества.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Также в планах до 2036 года - устойчивое развитие кадрового потенциала в сфере геодезии, картографии, кадастра и ДЗЗ.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Руководитель Росреестра пригласил руководство профильных ведомств и организаций Содружества принять очное участие в Первой международной научно-технической конференции и выставке государств – участников СНГ в сфере геодезии, картографии, кадастра, простран</w:t>
      </w:r>
      <w:r>
        <w:rPr>
          <w:b w:val="0"/>
          <w:bCs w:val="0"/>
          <w:color w:val="000000" w:themeColor="text1"/>
          <w14:ligatures w14:val="none"/>
        </w:rPr>
        <w:t xml:space="preserve">ственных данных и геоинформационных технологий, которые планируется провести осенью текущего года в Российской Федерации.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/>
          <w:bCs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/>
          <w:bCs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  <w:t xml:space="preserve">3. </w:t>
      </w:r>
      <w:r>
        <w:rPr>
          <w:b/>
          <w:bCs/>
          <w:color w:val="000000" w:themeColor="text1"/>
          <w14:ligatures w14:val="none"/>
        </w:rPr>
        <w:t xml:space="preserve">Мобильное приложение «Инспектор»: новосибирский Росреестр упрощает взаимодействие с землепользователями.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Росреестром продолжается активное внедрение современных цифровых сервисов в сфере федерального земельного контроля (надзора). Один из ярких примеров — внедрение мобильного приложения «Мобильный инспектор». Этот инструмент призван упростить взаимодействие м</w:t>
      </w:r>
      <w:r>
        <w:rPr>
          <w:b w:val="0"/>
          <w:bCs w:val="0"/>
          <w:color w:val="000000" w:themeColor="text1"/>
          <w14:ligatures w14:val="none"/>
        </w:rPr>
        <w:t xml:space="preserve">ежду ведомством и землепользователями, сократить сроки контрольных (надзорных) мероприятий и минимизировать бюрократические барьеры.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С помощью данного приложения граждане, индивидуальные предприниматели и организации могут в онлайн-режиме получить консуль</w:t>
      </w:r>
      <w:r>
        <w:rPr>
          <w:b w:val="0"/>
          <w:bCs w:val="0"/>
          <w:color w:val="000000" w:themeColor="text1"/>
          <w14:ligatures w14:val="none"/>
        </w:rPr>
        <w:t xml:space="preserve">тацию государственных земельных инспекторов по Новосибирской области. Для этого необходимо: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— скачать официальное мобильное приложение «Инспектор» через мобильные магазины приложений (Google Play, App Store, RuStore, AppGallery) или на портале контрольной</w:t>
      </w:r>
      <w:r>
        <w:rPr>
          <w:b w:val="0"/>
          <w:bCs w:val="0"/>
          <w:color w:val="000000" w:themeColor="text1"/>
          <w14:ligatures w14:val="none"/>
        </w:rPr>
        <w:t xml:space="preserve"> (надзорной) деятельности (knd.gov.ru);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— авторизоваться в приложении через ЕСИА (Единая система идентификации и аутентификации);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— подать заявление о проведении консультирования через портал Госуслуг: в разделе «Контроль и надзор» или через интерактивную </w:t>
      </w:r>
      <w:r>
        <w:rPr>
          <w:b w:val="0"/>
          <w:bCs w:val="0"/>
          <w:color w:val="000000" w:themeColor="text1"/>
          <w14:ligatures w14:val="none"/>
        </w:rPr>
        <w:t xml:space="preserve">форму по ссылке: (</w:t>
      </w:r>
      <w:hyperlink r:id="rId29" w:tooltip="https://www.gosuslugi.ru/625710/1/form" w:history="1">
        <w:r>
          <w:rPr>
            <w:b w:val="0"/>
            <w:bCs w:val="0"/>
            <w:color w:val="000000" w:themeColor="text1"/>
            <w14:ligatures w14:val="none"/>
          </w:rPr>
          <w:t xml:space="preserve">https://www.gosuslugi.ru/625710/1/form</w:t>
        </w:r>
      </w:hyperlink>
      <w:r>
        <w:rPr>
          <w:b w:val="0"/>
          <w:bCs w:val="0"/>
          <w:color w:val="000000" w:themeColor="text1"/>
          <w14:ligatures w14:val="none"/>
        </w:rPr>
        <w:t xml:space="preserve">). В заявке необходимо указать свой вопрос, регион (Новосибирская область), в котором требуется получить услугу, удобные дату и время проведения консультации.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«Мобильный инспектор» — это шаг к созданию современной, прозрачной и удобной системы земельного контроля. Внедрение цифровых технологий не только упрощает работу инспекторов, но и делает взаимодействие с государством более комфортным для граждан и бизнеса»</w:t>
      </w:r>
      <w:r>
        <w:rPr>
          <w:b w:val="0"/>
          <w:bCs w:val="0"/>
          <w:color w:val="000000" w:themeColor="text1"/>
          <w14:ligatures w14:val="none"/>
        </w:rPr>
        <w:t xml:space="preserve">, – подчеркнул заместитель руководителя Управления Росреестра по Новосибирской области </w:t>
      </w:r>
      <w:r>
        <w:rPr>
          <w:b w:val="0"/>
          <w:bCs w:val="0"/>
          <w:color w:val="000000" w:themeColor="text1"/>
          <w14:ligatures w14:val="none"/>
        </w:rPr>
        <w:t xml:space="preserve">Иван Пархоменко</w:t>
      </w:r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/>
          <w:bCs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/>
          <w:bCs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  <w:t xml:space="preserve">4. </w:t>
      </w:r>
      <w:r>
        <w:rPr>
          <w:b/>
          <w:bCs/>
          <w:color w:val="000000" w:themeColor="text1"/>
          <w14:ligatures w14:val="none"/>
        </w:rPr>
        <w:t xml:space="preserve">Росреестром внесен законопроект об упрощении оформления прав на общее имущество в СНТ.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В Правительство Российской Федерации Росреестром внесен законопроект, направленный на упрощение процедуры оформления прав на общее имущество членов садоводческих товариществ. Данный законопроект предполагает изменить оформление прав на общее имущество, при</w:t>
      </w:r>
      <w:r>
        <w:rPr>
          <w:b w:val="0"/>
          <w:bCs w:val="0"/>
          <w:color w:val="000000" w:themeColor="text1"/>
          <w14:ligatures w14:val="none"/>
        </w:rPr>
        <w:t xml:space="preserve">менить аналогию с общим имуществом собственников помещений в многоквартирных домах. Право на общее имущество у садоводов возникнет в силу закона с момента его постановки на государственный кадастровый учет.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«При принятии такого законопроекта собственники садовых земельных участков в садоводческих обществах будут чувствовать себя более спокойно, им не придется лишний раз тратить свое время на участие в общем собрании членов садового товарищества, спорить о раз</w:t>
      </w:r>
      <w:r>
        <w:rPr>
          <w:b w:val="0"/>
          <w:bCs w:val="0"/>
          <w:color w:val="000000" w:themeColor="text1"/>
          <w14:ligatures w14:val="none"/>
        </w:rPr>
        <w:t xml:space="preserve">мерах долей в общем имуществе по инстанциям в целях его оформления»</w:t>
      </w:r>
      <w:r>
        <w:rPr>
          <w:b w:val="0"/>
          <w:bCs w:val="0"/>
          <w:color w:val="000000" w:themeColor="text1"/>
          <w14:ligatures w14:val="none"/>
        </w:rPr>
        <w:t xml:space="preserve">, – заметил </w:t>
      </w:r>
      <w:r>
        <w:rPr>
          <w:b w:val="0"/>
          <w:bCs w:val="0"/>
          <w:color w:val="000000" w:themeColor="text1"/>
          <w14:ligatures w14:val="none"/>
        </w:rPr>
        <w:t xml:space="preserve">Борис Симрок</w:t>
      </w:r>
      <w:r>
        <w:rPr>
          <w:b w:val="0"/>
          <w:bCs w:val="0"/>
          <w:color w:val="000000" w:themeColor="text1"/>
          <w14:ligatures w14:val="none"/>
        </w:rPr>
        <w:t xml:space="preserve">, председатель садового товарищества «Яблоневый сад-2».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Изменения предлагается внести в Закон № 217-ФЗ «О ведении гражданами садоводства и огородничества для собственных нужд и о внесении изменений в отдельные законодательные акты Российской Федерации».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Законопроект предусматривает, что право собственности садоводов на общее имущество в садовом товариществе будет возникать в силу закона с момента его постановки на кадастровый учет в Росреестре - по аналогии с общим имуществом собственников помещений в мно</w:t>
      </w:r>
      <w:r>
        <w:rPr>
          <w:b w:val="0"/>
          <w:bCs w:val="0"/>
          <w:color w:val="000000" w:themeColor="text1"/>
          <w14:ligatures w14:val="none"/>
        </w:rPr>
        <w:t xml:space="preserve">гоквартирных домах.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«Принятие законопроекта позволит предотвратить незаконные застройки на территории садовых товариществ, защитить интересы владельцев земельных участков. В целом законопроект направлен на более прозрачное владение имуществом общего пользования и простую проц</w:t>
      </w:r>
      <w:r>
        <w:rPr>
          <w:b w:val="0"/>
          <w:bCs w:val="0"/>
          <w:color w:val="000000" w:themeColor="text1"/>
          <w14:ligatures w14:val="none"/>
        </w:rPr>
        <w:t xml:space="preserve">едуру его оформления»,</w:t>
      </w:r>
      <w:r>
        <w:rPr>
          <w:b w:val="0"/>
          <w:bCs w:val="0"/>
          <w:color w:val="000000" w:themeColor="text1"/>
          <w14:ligatures w14:val="none"/>
        </w:rPr>
        <w:t xml:space="preserve">– поясняет</w:t>
      </w:r>
      <w:r>
        <w:rPr>
          <w:b w:val="0"/>
          <w:bCs w:val="0"/>
          <w:color w:val="000000" w:themeColor="text1"/>
          <w14:ligatures w14:val="none"/>
        </w:rPr>
        <w:t xml:space="preserve"> Наталья Ивчатова</w:t>
      </w:r>
      <w:r>
        <w:rPr>
          <w:b w:val="0"/>
          <w:bCs w:val="0"/>
          <w:color w:val="000000" w:themeColor="text1"/>
          <w14:ligatures w14:val="none"/>
        </w:rPr>
        <w:t xml:space="preserve">, заместитель руководителя Управления Росреестра по Новосибирской области.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/>
          <w:bCs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  <w:t xml:space="preserve">5. </w:t>
      </w:r>
      <w:r>
        <w:rPr>
          <w:b/>
          <w:bCs/>
          <w:color w:val="000000" w:themeColor="text1"/>
          <w14:ligatures w14:val="none"/>
        </w:rPr>
        <w:t xml:space="preserve">Росреестр и «Роскосмос» подписали «дорожную карту» по ключевым вопросам взаимодействия.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Росреестр и Госкорпорация «Роскосмос» укрепляют стратегическое сотрудничество по обеспечению ведомства данными дистанционного зондирования Земли из космоса для картографирования территории страны и развития Национальной системы пространственных данных. На </w:t>
      </w:r>
      <w:r>
        <w:rPr>
          <w:b w:val="0"/>
          <w:bCs w:val="0"/>
          <w:color w:val="000000" w:themeColor="text1"/>
          <w14:ligatures w14:val="none"/>
        </w:rPr>
        <w:t xml:space="preserve">площадке первого Российского космического форума в Национальном центре «Россия» состоялось подписание «дорожной карты» по ключевым вопросам взаимодействия сторон.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Документ подписали заместитель руководителя Росреестра </w:t>
      </w:r>
      <w:r>
        <w:rPr>
          <w:b w:val="0"/>
          <w:bCs w:val="0"/>
          <w:color w:val="000000" w:themeColor="text1"/>
          <w14:ligatures w14:val="none"/>
        </w:rPr>
        <w:t xml:space="preserve">Максим Смирнов</w:t>
      </w:r>
      <w:r>
        <w:rPr>
          <w:b w:val="0"/>
          <w:bCs w:val="0"/>
          <w:color w:val="000000" w:themeColor="text1"/>
          <w14:ligatures w14:val="none"/>
        </w:rPr>
        <w:t xml:space="preserve"> и заместитель генерального директора по стратегическому развитию Госкорпорации «Роскосмос» </w:t>
      </w:r>
      <w:r>
        <w:rPr>
          <w:b w:val="0"/>
          <w:bCs w:val="0"/>
          <w:color w:val="000000" w:themeColor="text1"/>
          <w14:ligatures w14:val="none"/>
        </w:rPr>
        <w:t xml:space="preserve">Борис Глазков</w:t>
      </w:r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«Дорожная карта» направлена на последовательное решение стоящих перед Росреестром задач в сфере картографического обеспечения страны. Мы постепенно переходим от модели получения данных ДЗЗ посредством пилотируемой авиации на использование данных ДЗЗ из кос</w:t>
      </w:r>
      <w:r>
        <w:rPr>
          <w:b w:val="0"/>
          <w:bCs w:val="0"/>
          <w:color w:val="000000" w:themeColor="text1"/>
          <w14:ligatures w14:val="none"/>
        </w:rPr>
        <w:t xml:space="preserve">моса. Для качественного перехода на новый уровень картографического производства Росреестр совместно с Госкорпорацией «Роскосмос» планирует запустить пилотный проект по отработке технологии автоматизированного мониторинга изменений местности на основе данн</w:t>
      </w:r>
      <w:r>
        <w:rPr>
          <w:b w:val="0"/>
          <w:bCs w:val="0"/>
          <w:color w:val="000000" w:themeColor="text1"/>
          <w14:ligatures w14:val="none"/>
        </w:rPr>
        <w:t xml:space="preserve">ых ДЗЗ из космоса», </w:t>
      </w:r>
      <w:r>
        <w:rPr>
          <w:b w:val="0"/>
          <w:bCs w:val="0"/>
          <w:color w:val="000000" w:themeColor="text1"/>
          <w14:ligatures w14:val="none"/>
        </w:rPr>
        <w:t xml:space="preserve">- сказал </w:t>
      </w:r>
      <w:r>
        <w:rPr>
          <w:b w:val="0"/>
          <w:bCs w:val="0"/>
          <w:color w:val="000000" w:themeColor="text1"/>
          <w14:ligatures w14:val="none"/>
        </w:rPr>
        <w:t xml:space="preserve">Максим Смирнов</w:t>
      </w:r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По его словам, «дорожная карта» - естественное продолжение сотрудничества Росреестра и «Роскосмоса». В декабре 2022 года стороны подписали соглашение об информационном взаимодействии ФГИС «Единая цифровая платформа «Национальная система пространственных да</w:t>
      </w:r>
      <w:r>
        <w:rPr>
          <w:b w:val="0"/>
          <w:bCs w:val="0"/>
          <w:color w:val="000000" w:themeColor="text1"/>
          <w14:ligatures w14:val="none"/>
        </w:rPr>
        <w:t xml:space="preserve">нных» с федеральным фондом данных дистанционного зондирования Земли из космоса. Его реализация позволяет получать данные ДЗЗ с космических аппаратов для использования в НСПД.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В свою очередь заместитель генерального директора по стратегическому развитию Госкорпорации «Роскосмос» </w:t>
      </w:r>
      <w:r>
        <w:rPr>
          <w:b w:val="0"/>
          <w:bCs w:val="0"/>
          <w:color w:val="000000" w:themeColor="text1"/>
          <w14:ligatures w14:val="none"/>
        </w:rPr>
        <w:t xml:space="preserve">Борис Глазков</w:t>
      </w:r>
      <w:r>
        <w:rPr>
          <w:b w:val="0"/>
          <w:bCs w:val="0"/>
          <w:color w:val="000000" w:themeColor="text1"/>
          <w14:ligatures w14:val="none"/>
        </w:rPr>
        <w:t xml:space="preserve"> отметил: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«Мероприятия, предусмотренные дорожной картой, охватывают такие важные направления, как предоставление данных ДЗЗ, взаимодействие информационных систем, а также совместное изучение зарубежного опыта. Все это позволит нам, с одной стороны, повысить качество</w:t>
      </w:r>
      <w:r>
        <w:rPr>
          <w:b w:val="0"/>
          <w:bCs w:val="0"/>
          <w:color w:val="000000" w:themeColor="text1"/>
          <w14:ligatures w14:val="none"/>
        </w:rPr>
        <w:t xml:space="preserve"> и оперативность обработки данных ДЗЗ в интересах Росреестра, а с другой, создаст дополнительные возможности развития российского рынка таких данных».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В соответствии с подписанной «дорожной картой» предусмотрено выполнить целый ряд задач. Также предусмотрены мероприятия по обеспечению Росреестра и ППК «Роскадастр» перспективными отечественными данными ДЗЗ из космоса с пространственным разрешением 0,5 м. </w:t>
      </w:r>
      <w:r>
        <w:rPr>
          <w:b w:val="0"/>
          <w:bCs w:val="0"/>
          <w:color w:val="000000" w:themeColor="text1"/>
          <w14:ligatures w14:val="none"/>
        </w:rPr>
        <w:t xml:space="preserve">и выше.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Кроме того, будет продолжена работа по совершенствованию информационного взаимодействия ФГИС ЕЦП НСПД с информационными системами «Роскосмоса» - «Цифровая Земля» и федеральным фондом данных ДЗЗ из космоса, а также проработаны предложения по комплексным суп</w:t>
      </w:r>
      <w:r>
        <w:rPr>
          <w:b w:val="0"/>
          <w:bCs w:val="0"/>
          <w:color w:val="000000" w:themeColor="text1"/>
          <w14:ligatures w14:val="none"/>
        </w:rPr>
        <w:t xml:space="preserve">ерсервисам по земле и недвижимости.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Отметим, Российский космический форум является ключевым событием Недели космоса - нового ежегодного события, учрежденного указом Президента РФ от 29 декабря 2025 года. Форум призван стать ключевой федеральной площадкой для диалога государства, науки и бизн</w:t>
      </w:r>
      <w:r>
        <w:rPr>
          <w:b w:val="0"/>
          <w:bCs w:val="0"/>
          <w:color w:val="000000" w:themeColor="text1"/>
          <w14:ligatures w14:val="none"/>
        </w:rPr>
        <w:t xml:space="preserve">еса в космическом секторе. 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Справочно: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Неделя космоса проходит в России с 6 по 12 апреля. В 2026 году ее проведение приурочено к 65-летию полета Ю.А. Гагарина в космос. Орга</w:t>
      </w:r>
      <w:r>
        <w:rPr>
          <w:b w:val="0"/>
          <w:bCs w:val="0"/>
          <w:color w:val="000000" w:themeColor="text1"/>
          <w14:ligatures w14:val="none"/>
        </w:rPr>
        <w:t xml:space="preserve">низатор Недели космоса - Государственная корпорация «Роскосмос».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  <w:t xml:space="preserve">6. </w:t>
      </w:r>
      <w:r>
        <w:rPr>
          <w:b/>
          <w:bCs/>
          <w:highlight w:val="none"/>
        </w:rPr>
        <w:t xml:space="preserve">Росреестр обозначил перспективы использования в НСПД данных ДЗЗ из космоса.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Национальном центре «Россия» в рамках утвержденной Президентом РФ Недели космоса состоялся первый Российский космический форум, приуроченный к 65-летию полета Юрия Гагарина в космос. Одним из ключевых деловых мероприятий стала сессия «Дистанционное зонди</w:t>
      </w:r>
      <w:r>
        <w:rPr>
          <w:b w:val="0"/>
          <w:bCs w:val="0"/>
          <w:highlight w:val="none"/>
        </w:rPr>
        <w:t xml:space="preserve">рование Земли: как спутниковые данные становятся основой экономики», в которой принял участие заместитель руководителя Росреестра </w:t>
      </w:r>
      <w:r>
        <w:rPr>
          <w:b w:val="0"/>
          <w:bCs w:val="0"/>
          <w:highlight w:val="none"/>
        </w:rPr>
        <w:t xml:space="preserve">Максим Смирнов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Максим Смирнов</w:t>
      </w:r>
      <w:r>
        <w:rPr>
          <w:b w:val="0"/>
          <w:bCs w:val="0"/>
          <w:highlight w:val="none"/>
        </w:rPr>
        <w:t xml:space="preserve"> рассказал о перспективах использования данных дистанционного зондирования Земли (ДЗЗ) в Единой цифровой платформе «Национальная система пространственных данных».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«Нашей стратегической задачей является развитие Национальной системы пространственных данных. Основой НСПД является Единая электронная картографическая основа (ЕЭКО) – государственная цифровая карта страны, исходными данными для создания которой служат дан</w:t>
      </w:r>
      <w:r>
        <w:rPr>
          <w:b w:val="0"/>
          <w:bCs w:val="0"/>
          <w:highlight w:val="none"/>
        </w:rPr>
        <w:t xml:space="preserve">ные ДЗЗ, в том числе космические снимки. Уже в текущем году в рамках совместной работы с Госкорпорацией «Роскосмос» доля данных ДЗЗ из космоса для картографирования существенно возросла в сравнении с использованием пилотируемой авиации. Интеграция и переис</w:t>
      </w:r>
      <w:r>
        <w:rPr>
          <w:b w:val="0"/>
          <w:bCs w:val="0"/>
          <w:highlight w:val="none"/>
        </w:rPr>
        <w:t xml:space="preserve">пользование данных «Роскосмоса» в НСПД позволит нам перейти на принципиально новый технологический уровень создания и развития сервисов НСПД, обеспечит пользователей актуальными пространственными данными», - </w:t>
      </w:r>
      <w:r>
        <w:rPr>
          <w:b w:val="0"/>
          <w:bCs w:val="0"/>
          <w:highlight w:val="none"/>
        </w:rPr>
        <w:t xml:space="preserve">сказал </w:t>
      </w:r>
      <w:r>
        <w:rPr>
          <w:b w:val="0"/>
          <w:bCs w:val="0"/>
          <w:highlight w:val="none"/>
        </w:rPr>
        <w:t xml:space="preserve">Максим Смирнов</w:t>
      </w:r>
      <w:r>
        <w:rPr>
          <w:b w:val="0"/>
          <w:bCs w:val="0"/>
          <w:highlight w:val="none"/>
        </w:rPr>
        <w:t xml:space="preserve">, отметив, что создание ЕЭКО планируется завершить до конца 2027 года.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Он также сообщил, что на сегодняшний день внедрение ФГИС ЕЦП НСПД идет опережающими темпами, в этом процессе активно участвуют основные федеральные и региональные органы власти. Картографический компонент платформы для своих информационных систем использую</w:t>
      </w:r>
      <w:r>
        <w:rPr>
          <w:b w:val="0"/>
          <w:bCs w:val="0"/>
          <w:highlight w:val="none"/>
        </w:rPr>
        <w:t xml:space="preserve">т Минстрой, МЧС России, Рослесхоз и др.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Таким образом, как отметил </w:t>
      </w:r>
      <w:r>
        <w:rPr>
          <w:b w:val="0"/>
          <w:bCs w:val="0"/>
          <w:highlight w:val="none"/>
        </w:rPr>
        <w:t xml:space="preserve">Максим Смирнов</w:t>
      </w:r>
      <w:r>
        <w:rPr>
          <w:b w:val="0"/>
          <w:bCs w:val="0"/>
          <w:highlight w:val="none"/>
        </w:rPr>
        <w:t xml:space="preserve">, в рамках карткомпонента НСПД пространственные данные, в том числе данные ДЗЗ, эффективно переиспользуются всеми органами власти и заинтересованными лицами.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Эффектами от качественного взаимодействия Росреестра и «Роскосмоса» станут повышение производительности труда в </w:t>
      </w:r>
      <w:r>
        <w:rPr>
          <w:b w:val="0"/>
          <w:bCs w:val="0"/>
          <w:highlight w:val="none"/>
        </w:rPr>
        <w:t xml:space="preserve">2</w:t>
      </w:r>
      <w:r>
        <w:rPr>
          <w:b w:val="0"/>
          <w:bCs w:val="0"/>
          <w:highlight w:val="none"/>
        </w:rPr>
        <w:t xml:space="preserve"> раза, а также сокращение затрат органов власти на развитие ГИС более чем на </w:t>
      </w:r>
      <w:r>
        <w:rPr>
          <w:b w:val="0"/>
          <w:bCs w:val="0"/>
          <w:highlight w:val="none"/>
        </w:rPr>
        <w:t xml:space="preserve">2,5</w:t>
      </w:r>
      <w:r>
        <w:rPr>
          <w:b w:val="0"/>
          <w:bCs w:val="0"/>
          <w:highlight w:val="none"/>
        </w:rPr>
        <w:t xml:space="preserve"> млрд рублей за счет использования функционала НСПД.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обсуждении также приняли участие заместитель генерального директора по стратегическому развитию Госкорпорации «Роскосмос» </w:t>
      </w:r>
      <w:r>
        <w:rPr>
          <w:b w:val="0"/>
          <w:bCs w:val="0"/>
          <w:highlight w:val="none"/>
        </w:rPr>
        <w:t xml:space="preserve">Борис Глазков,</w:t>
      </w:r>
      <w:r>
        <w:rPr>
          <w:b w:val="0"/>
          <w:bCs w:val="0"/>
          <w:highlight w:val="none"/>
        </w:rPr>
        <w:t xml:space="preserve"> первый заместитель Министра природных ресурсов и экологии РФ </w:t>
      </w:r>
      <w:r>
        <w:rPr>
          <w:b w:val="0"/>
          <w:bCs w:val="0"/>
          <w:highlight w:val="none"/>
        </w:rPr>
        <w:t xml:space="preserve">Константин Цыганов</w:t>
      </w:r>
      <w:r>
        <w:rPr>
          <w:b w:val="0"/>
          <w:bCs w:val="0"/>
          <w:highlight w:val="none"/>
        </w:rPr>
        <w:t xml:space="preserve"> и другие.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Отметим, организатором первого Российского космического форума выступает Госкорпорация «Роскосмос» при поддержке Правительства РФ, оператором - Фонд Росконгресс. Форум объединил на своей площадке представителей органов государственной власти, отраслевого с</w:t>
      </w:r>
      <w:r>
        <w:rPr>
          <w:b w:val="0"/>
          <w:bCs w:val="0"/>
          <w:highlight w:val="none"/>
        </w:rPr>
        <w:t xml:space="preserve">ообщества, науки и бизнеса для обсуждения ключевых направлений развития космической отра</w:t>
      </w:r>
      <w:r>
        <w:rPr>
          <w:b w:val="0"/>
          <w:bCs w:val="0"/>
          <w:highlight w:val="none"/>
        </w:rPr>
        <w:t xml:space="preserve">сли и ее роли в социально-экономическом развитии страны.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</w:r>
      <w:r>
        <w:rPr>
          <w:b/>
          <w:bCs/>
          <w:highlight w:val="none"/>
        </w:rPr>
        <w:t xml:space="preserve">7.</w:t>
      </w:r>
      <w:r>
        <w:rPr>
          <w:b/>
          <w:bCs/>
          <w:highlight w:val="none"/>
        </w:rPr>
        <w:t xml:space="preserve"> </w:t>
      </w:r>
      <w:r>
        <w:rPr>
          <w:b/>
          <w:bCs/>
          <w:highlight w:val="none"/>
        </w:rPr>
        <w:t xml:space="preserve">Общественный совет при Росреестре обсудил оптимизацию сервисов НСПД и регулирование цен на межевание в регионах.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Росреестре состоялось заседание Общественного совета при ведомстве (ОС). Участники обсудили вопросы расширения функционала сервиса НСПД по аналитике рынка недвижимости и законодательного регулирования предельных максимальных цен на кадастровые работы в р</w:t>
      </w:r>
      <w:r>
        <w:rPr>
          <w:b w:val="0"/>
          <w:bCs w:val="0"/>
          <w:highlight w:val="none"/>
        </w:rPr>
        <w:t xml:space="preserve">егионах.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Руководитель Росреестра </w:t>
      </w:r>
      <w:r>
        <w:rPr>
          <w:b w:val="0"/>
          <w:bCs w:val="0"/>
          <w:highlight w:val="none"/>
        </w:rPr>
        <w:t xml:space="preserve">Олег Скуфинский </w:t>
      </w:r>
      <w:r>
        <w:rPr>
          <w:b w:val="0"/>
          <w:bCs w:val="0"/>
          <w:highlight w:val="none"/>
        </w:rPr>
        <w:t xml:space="preserve">обозначил ключевые задачи, которые стоят перед ведомством.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«</w:t>
      </w:r>
      <w:r>
        <w:rPr>
          <w:b w:val="0"/>
          <w:bCs w:val="0"/>
          <w:highlight w:val="none"/>
        </w:rPr>
        <w:t xml:space="preserve">В целях оперативного выполнения задач по повышению капитализации территорий страны и вовлечению в оборот земель для жилищного строительства, поставленных руководством страны, главным условием становится рост производительности труда. Все вопросы, связанные</w:t>
      </w:r>
      <w:r>
        <w:rPr>
          <w:b w:val="0"/>
          <w:bCs w:val="0"/>
          <w:highlight w:val="none"/>
        </w:rPr>
        <w:t xml:space="preserve"> с внедрением в деятельность новых технологий, в том числе с использованием ИИ, должны решаться своевременно и эффективно, а результаты – быть надежными и безопасными для граждан и участников рынка недвижимости</w:t>
      </w:r>
      <w:r>
        <w:rPr>
          <w:b w:val="0"/>
          <w:bCs w:val="0"/>
          <w:highlight w:val="none"/>
        </w:rPr>
        <w:t xml:space="preserve">», - отметил </w:t>
      </w:r>
      <w:r>
        <w:rPr>
          <w:b w:val="0"/>
          <w:bCs w:val="0"/>
          <w:highlight w:val="none"/>
        </w:rPr>
        <w:t xml:space="preserve">руководитель ведомства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Председатель ОС</w:t>
      </w:r>
      <w:r>
        <w:rPr>
          <w:b w:val="0"/>
          <w:bCs w:val="0"/>
          <w:highlight w:val="none"/>
        </w:rPr>
        <w:t xml:space="preserve"> Александр Каньшин</w:t>
      </w:r>
      <w:r>
        <w:rPr>
          <w:b w:val="0"/>
          <w:bCs w:val="0"/>
          <w:highlight w:val="none"/>
        </w:rPr>
        <w:t xml:space="preserve">, в свою очередь, отметил важность работы Общественного совета на фоне изменений, происходящих на рынке недвижимости. «</w:t>
      </w:r>
      <w:r>
        <w:rPr>
          <w:b w:val="0"/>
          <w:bCs w:val="0"/>
          <w:highlight w:val="none"/>
        </w:rPr>
        <w:t xml:space="preserve">В сфере коммерческой недвижимости происходят кардинальные изменения. У потребителей появились новые запросы, нужно учитывать совершенно другие условия сделок. От Общественного совета это требует слаженной и результативной работы, для которой у нас есть все</w:t>
      </w:r>
      <w:r>
        <w:rPr>
          <w:b w:val="0"/>
          <w:bCs w:val="0"/>
          <w:highlight w:val="none"/>
        </w:rPr>
        <w:t xml:space="preserve"> ресурсы</w:t>
      </w:r>
      <w:r>
        <w:rPr>
          <w:b w:val="0"/>
          <w:bCs w:val="0"/>
          <w:highlight w:val="none"/>
        </w:rPr>
        <w:t xml:space="preserve">», - подчеркнул он.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 внедрении ИИ в систему обеспечения информационной безопасности (ИБ) Росреестра рассказал заместитель руководителя ведомства </w:t>
      </w:r>
      <w:r>
        <w:rPr>
          <w:b w:val="0"/>
          <w:bCs w:val="0"/>
          <w:highlight w:val="none"/>
        </w:rPr>
        <w:t xml:space="preserve">Максим Смирнов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Руководитель Департамента залогов – старший вице-президент банка ВТБ </w:t>
      </w:r>
      <w:r>
        <w:rPr>
          <w:b w:val="0"/>
          <w:bCs w:val="0"/>
          <w:highlight w:val="none"/>
        </w:rPr>
        <w:t xml:space="preserve">Антон Вовк</w:t>
      </w:r>
      <w:r>
        <w:rPr>
          <w:b w:val="0"/>
          <w:bCs w:val="0"/>
          <w:highlight w:val="none"/>
        </w:rPr>
        <w:t xml:space="preserve"> выступил с инициативой расширить функционал сервиса НСПД «Аналитика недвижимости», чтобы кредитные организации и другие участники рынка могли использовать аналитику из ЕГРН при мониторинге объектов, которые входят в залоговый портфель организаций. Также, </w:t>
      </w:r>
      <w:r>
        <w:rPr>
          <w:b w:val="0"/>
          <w:bCs w:val="0"/>
          <w:highlight w:val="none"/>
        </w:rPr>
        <w:t xml:space="preserve">по его словам, важно получать данные о строящихся и уже построенных объектах.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Генеральный директор ППК «Роскадастр»</w:t>
      </w:r>
      <w:r>
        <w:rPr>
          <w:b w:val="0"/>
          <w:bCs w:val="0"/>
          <w:highlight w:val="none"/>
        </w:rPr>
        <w:t xml:space="preserve"> Татьяна Громова</w:t>
      </w:r>
      <w:r>
        <w:rPr>
          <w:b w:val="0"/>
          <w:bCs w:val="0"/>
          <w:highlight w:val="none"/>
        </w:rPr>
        <w:t xml:space="preserve"> проинформировала, что компания уже предоставляет аналитическую информацию заявителям. Сегодня это направление развивается – прорабатывается новая комплексная услуга по оформлению «сложных» объектов недвижимости (оформление недвижимости, изменение ВРИ и юр</w:t>
      </w:r>
      <w:r>
        <w:rPr>
          <w:b w:val="0"/>
          <w:bCs w:val="0"/>
          <w:highlight w:val="none"/>
        </w:rPr>
        <w:t xml:space="preserve">идическое сопровождение). Также создаются аналитические сервисы для предоставления информации из ЕГРН и НСПД.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Президент Ассоциации «Национальное объединение саморегулируемых организаций кадастровых инженеров» </w:t>
      </w:r>
      <w:r>
        <w:rPr>
          <w:b w:val="0"/>
          <w:bCs w:val="0"/>
          <w:highlight w:val="none"/>
        </w:rPr>
        <w:t xml:space="preserve">Алла Овчинникова</w:t>
      </w:r>
      <w:r>
        <w:rPr>
          <w:b w:val="0"/>
          <w:bCs w:val="0"/>
          <w:highlight w:val="none"/>
        </w:rPr>
        <w:t xml:space="preserve"> подняла вопрос о предельных максимальных расценках на кадастровые работы, которые установлены в </w:t>
      </w:r>
      <w:r>
        <w:rPr>
          <w:b w:val="0"/>
          <w:bCs w:val="0"/>
          <w:highlight w:val="none"/>
        </w:rPr>
        <w:t xml:space="preserve">28</w:t>
      </w:r>
      <w:r>
        <w:rPr>
          <w:b w:val="0"/>
          <w:bCs w:val="0"/>
          <w:highlight w:val="none"/>
        </w:rPr>
        <w:t xml:space="preserve"> регионах страны. По её словам, расценки приняты без экономических расчетов, ежегодная индексация как правило не предусмотрена, а </w:t>
      </w:r>
      <w:r>
        <w:rPr>
          <w:b w:val="0"/>
          <w:bCs w:val="0"/>
          <w:highlight w:val="none"/>
        </w:rPr>
        <w:t xml:space="preserve">75% </w:t>
      </w:r>
      <w:r>
        <w:rPr>
          <w:b w:val="0"/>
          <w:bCs w:val="0"/>
          <w:highlight w:val="none"/>
        </w:rPr>
        <w:t xml:space="preserve">регионов не пересматривали цены уже более </w:t>
      </w:r>
      <w:r>
        <w:rPr>
          <w:b w:val="0"/>
          <w:bCs w:val="0"/>
          <w:highlight w:val="none"/>
        </w:rPr>
        <w:t xml:space="preserve">5</w:t>
      </w:r>
      <w:r>
        <w:rPr>
          <w:b w:val="0"/>
          <w:bCs w:val="0"/>
          <w:highlight w:val="none"/>
        </w:rPr>
        <w:t xml:space="preserve"> лет. В результате стоимость кадастровых работ в субъектах отличается в </w:t>
      </w:r>
      <w:r>
        <w:rPr>
          <w:b w:val="0"/>
          <w:bCs w:val="0"/>
          <w:highlight w:val="none"/>
        </w:rPr>
        <w:t xml:space="preserve">10 </w:t>
      </w:r>
      <w:r>
        <w:rPr>
          <w:b w:val="0"/>
          <w:bCs w:val="0"/>
          <w:highlight w:val="none"/>
        </w:rPr>
        <w:t xml:space="preserve">раз: от </w:t>
      </w:r>
      <w:r>
        <w:rPr>
          <w:b w:val="0"/>
          <w:bCs w:val="0"/>
          <w:highlight w:val="none"/>
        </w:rPr>
        <w:t xml:space="preserve">3,5 тыс. </w:t>
      </w:r>
      <w:r>
        <w:rPr>
          <w:b w:val="0"/>
          <w:bCs w:val="0"/>
          <w:highlight w:val="none"/>
        </w:rPr>
        <w:t xml:space="preserve">рублей в Адыгее до </w:t>
      </w:r>
      <w:r>
        <w:rPr>
          <w:b w:val="0"/>
          <w:bCs w:val="0"/>
          <w:highlight w:val="none"/>
        </w:rPr>
        <w:t xml:space="preserve">27 тыс. </w:t>
      </w:r>
      <w:r>
        <w:rPr>
          <w:b w:val="0"/>
          <w:bCs w:val="0"/>
          <w:highlight w:val="none"/>
        </w:rPr>
        <w:t xml:space="preserve">рублей в Ленинградской области. Это отрицательно сказывается на качестве кадастровой деятельности и создает риски невыполнения обязательных этапов работ, в том числе полевых. В связи с этим эксперт предложила внести соответствующие изменения в федеральный </w:t>
      </w:r>
      <w:r>
        <w:rPr>
          <w:b w:val="0"/>
          <w:bCs w:val="0"/>
          <w:highlight w:val="none"/>
        </w:rPr>
        <w:t xml:space="preserve">закон.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Заместитель председателя ОС и президент НП «Национальное объединение технологических и ценовых аудиторов» </w:t>
      </w:r>
      <w:r>
        <w:rPr>
          <w:b w:val="0"/>
          <w:bCs w:val="0"/>
          <w:highlight w:val="none"/>
        </w:rPr>
        <w:t xml:space="preserve">Анна Лупашко</w:t>
      </w:r>
      <w:r>
        <w:rPr>
          <w:b w:val="0"/>
          <w:bCs w:val="0"/>
          <w:highlight w:val="none"/>
        </w:rPr>
        <w:t xml:space="preserve"> выступила с предложением внедрить при совершении сделок принцип встречного исполнения. По ее мнению, синхронизация перехода права собственности с выплатой денежных средств продавцу поможет исключить риски мошенничества с недвижимостью. При этом Росреестр </w:t>
      </w:r>
      <w:r>
        <w:rPr>
          <w:b w:val="0"/>
          <w:bCs w:val="0"/>
          <w:highlight w:val="none"/>
        </w:rPr>
        <w:t xml:space="preserve">сможет приостановить регистрацию права, если не приложены документы о переводе средств.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Президент Федеральной нотариальной палаты </w:t>
      </w:r>
      <w:r>
        <w:rPr>
          <w:b w:val="0"/>
          <w:bCs w:val="0"/>
          <w:highlight w:val="none"/>
        </w:rPr>
        <w:t xml:space="preserve">Константин Корсик </w:t>
      </w:r>
      <w:r>
        <w:rPr>
          <w:b w:val="0"/>
          <w:bCs w:val="0"/>
          <w:highlight w:val="none"/>
        </w:rPr>
        <w:t xml:space="preserve">отметил положительные результаты практики нотариального удостоверения договоров дарения - судебных оспариваний стало гораздо меньше. Соответствующая норма заработала с января 2025 года по инициативе Росреестра.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завершение дискуссии </w:t>
      </w:r>
      <w:r>
        <w:rPr>
          <w:b w:val="0"/>
          <w:bCs w:val="0"/>
          <w:highlight w:val="none"/>
        </w:rPr>
        <w:t xml:space="preserve">Олег Скуфинский</w:t>
      </w:r>
      <w:r>
        <w:rPr>
          <w:b w:val="0"/>
          <w:bCs w:val="0"/>
          <w:highlight w:val="none"/>
        </w:rPr>
        <w:t xml:space="preserve"> поручил внести инициативы членов ОС в протокол и детально их проработать.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  <w:t xml:space="preserve">8. </w:t>
      </w:r>
      <w:r>
        <w:rPr>
          <w:b/>
          <w:bCs/>
          <w:highlight w:val="none"/>
        </w:rPr>
        <w:t xml:space="preserve">Росреестр подготовил методичку для граждан, как приватизировать участок в СНТ по «дачной амнистии».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Росреестр подготовил </w:t>
      </w:r>
      <w:hyperlink r:id="rId30" w:tooltip="https://rosreestr.gov.ru/upload/Doc/press/%D0%94%D0%90%D0%A7%D0%9D%D0%90%D0%AF%20%D0%90%D0%9C%D0%9D%D0%98%D0%A1%D0%A2%D0%98%D0%AF%201.0_%D0%A3-11-27112025.pdf" w:history="1">
        <w:r>
          <w:rPr>
            <w:b w:val="0"/>
            <w:bCs w:val="0"/>
            <w:highlight w:val="none"/>
          </w:rPr>
          <w:t xml:space="preserve">методическое пособие</w:t>
        </w:r>
      </w:hyperlink>
      <w:r>
        <w:rPr>
          <w:b w:val="0"/>
          <w:bCs w:val="0"/>
          <w:highlight w:val="none"/>
        </w:rPr>
        <w:t xml:space="preserve"> для граждан о том, как в рамках «дачной амнистии» бесплатно приватизировать садовый или огородный земельный участок на основании членства в товариществе (СНТ или ОНТ). Электронный буклет в простой и понятной форме рассказывает дачникам, как в упрощенном п</w:t>
      </w:r>
      <w:r>
        <w:rPr>
          <w:b w:val="0"/>
          <w:bCs w:val="0"/>
          <w:highlight w:val="none"/>
        </w:rPr>
        <w:t xml:space="preserve">орядке оформить участки, на которые нет правоустанавливающих документов.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Как отметил статс-секретарь - заместитель руководителя Росреестра </w:t>
      </w:r>
      <w:r>
        <w:rPr>
          <w:b w:val="0"/>
          <w:bCs w:val="0"/>
          <w:highlight w:val="none"/>
        </w:rPr>
        <w:t xml:space="preserve">Алексей Бутовецкий</w:t>
      </w:r>
      <w:r>
        <w:rPr>
          <w:b w:val="0"/>
          <w:bCs w:val="0"/>
          <w:highlight w:val="none"/>
        </w:rPr>
        <w:t xml:space="preserve">, механизм «дачной амнистии» востребован россиянами и в части бесплатной приватизации садовых и огородных земельных участков. Срок действия «дачной амнистии» продлен до 1 марта 2031 года. Всего на сегодняшний день возможностью оформить жилые дома и землю в</w:t>
      </w:r>
      <w:r>
        <w:rPr>
          <w:b w:val="0"/>
          <w:bCs w:val="0"/>
          <w:highlight w:val="none"/>
        </w:rPr>
        <w:t xml:space="preserve"> упрощенном порядке воспользовались уже более </w:t>
      </w:r>
      <w:r>
        <w:rPr>
          <w:b w:val="0"/>
          <w:bCs w:val="0"/>
          <w:highlight w:val="none"/>
        </w:rPr>
        <w:t xml:space="preserve">15 млн</w:t>
      </w:r>
      <w:r>
        <w:rPr>
          <w:b w:val="0"/>
          <w:bCs w:val="0"/>
          <w:highlight w:val="none"/>
        </w:rPr>
        <w:t xml:space="preserve"> россиян.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«Рекомендации разработаны для помощи гражданам в оформлении садовых и огородных земельных участков, а также земельных участков общего назначения, расположенных в границах садоводческих или огороднических некоммерческих товариществ. «Дачная амнистия» решает</w:t>
      </w:r>
      <w:r>
        <w:rPr>
          <w:b w:val="0"/>
          <w:bCs w:val="0"/>
          <w:highlight w:val="none"/>
        </w:rPr>
        <w:t xml:space="preserve"> проблему, связанную с невозможностью приобретения таких участков в общем порядке, установленном Земельным кодексом РФ. Методичка разъясняет, кто может воспользоваться данным механизмом, какие документы необходимы для оформления садовых и огородных земельн</w:t>
      </w:r>
      <w:r>
        <w:rPr>
          <w:b w:val="0"/>
          <w:bCs w:val="0"/>
          <w:highlight w:val="none"/>
        </w:rPr>
        <w:t xml:space="preserve">ых участков. Дана пошаговая инструкция, какие действия необходимо предпринять»,</w:t>
      </w:r>
      <w:r>
        <w:rPr>
          <w:b w:val="0"/>
          <w:bCs w:val="0"/>
          <w:highlight w:val="none"/>
        </w:rPr>
        <w:t xml:space="preserve"> - сообщил статс-секретарь - заместитель руководителя Росреестра </w:t>
      </w:r>
      <w:r>
        <w:rPr>
          <w:b w:val="0"/>
          <w:bCs w:val="0"/>
          <w:highlight w:val="none"/>
        </w:rPr>
        <w:t xml:space="preserve">Алексей Бутовецкий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Для начала эксперты Росреестра предлагают убедиться, подходит ли используемый вами участок под условия «дачной амнистии». Если да, то вторым шагом станет сбор необходимых документов.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случае, если земельный участок не стоит на кадастровом учете</w:t>
      </w:r>
      <w:r>
        <w:rPr>
          <w:b w:val="0"/>
          <w:bCs w:val="0"/>
          <w:highlight w:val="none"/>
        </w:rPr>
        <w:t xml:space="preserve">, заявителю нужно получить решение о предварительном согласовании предоставления участка. Для этого в уполномоченный орган (как правило, муниципальный орган власти, к которому относится СНТ или ОНТ) подаётся соответствующее заявление, схема расположения зе</w:t>
      </w:r>
      <w:r>
        <w:rPr>
          <w:b w:val="0"/>
          <w:bCs w:val="0"/>
          <w:highlight w:val="none"/>
        </w:rPr>
        <w:t xml:space="preserve">мельного участка на кадастровом плане территории (если нет проекта межевания территории) и правоустанавливающий документ на землю.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Если принято положительное решение о предварительном согласовании предоставления участка, далее следует обратиться к кадастровому инженеру, чтобы подготовить межевой план для постановки участка на кадастровый учет. Готовые документы нужно направить в Росре</w:t>
      </w:r>
      <w:r>
        <w:rPr>
          <w:b w:val="0"/>
          <w:bCs w:val="0"/>
          <w:highlight w:val="none"/>
        </w:rPr>
        <w:t xml:space="preserve">естр в электронном виде: через портал Госуслуг, региональные порталы Госуслуг или официальный сайт Росреестра.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Следующий шаг - предоставление земельного участка. Для этого в уполномоченный орган (орган, куда вы обращались за предварительным согласованием предоставления земельного участка) нужно направить: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709" w:right="0" w:firstLine="0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выписку из ЕГРН на земельный участок;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709" w:right="0" w:firstLine="0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решение общего собрания членов СНТ или ОНТ о распределении вам земельного участка.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случае, если ваш участок уже стоит на кадастровом учете</w:t>
      </w:r>
      <w:r>
        <w:rPr>
          <w:b w:val="0"/>
          <w:bCs w:val="0"/>
          <w:highlight w:val="none"/>
        </w:rPr>
        <w:t xml:space="preserve">, то вы сразу (без подготовки схемы) подаете в уполномоченный орган заявление о предоставлении земельного участка.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Если орган местного самоуправления принимает решение о предоставлении вам земельного участка, далее этот же орган с данным решением обращается в Росреестр для регистрации Вашего права собственности на земельный участок. Это завершающий этап. Результатом об</w:t>
      </w:r>
      <w:r>
        <w:rPr>
          <w:b w:val="0"/>
          <w:bCs w:val="0"/>
          <w:highlight w:val="none"/>
        </w:rPr>
        <w:t xml:space="preserve">ращения станет предоставление выписки из ЕГРН, подтверждающей право собственности на участок.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Отметим, до 1 января 2028 года «дачная амнистия» также действует на территории Донецкой и Луганской народных республик, Запорожской и Херсонской областей. В методичке Росреестра рассказано об особенностях реализации этого механизма в воссоединенных региона</w:t>
      </w:r>
      <w:r>
        <w:rPr>
          <w:b w:val="0"/>
          <w:bCs w:val="0"/>
          <w:highlight w:val="none"/>
        </w:rPr>
        <w:t xml:space="preserve">х.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Кроме того, в методичку вошла информация, как оформить земельный участок общего назначения в СНТ и ОНТ.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Более подробно ознакомиться со всеми инструкциями можно в методическом пособии </w:t>
      </w:r>
      <w:hyperlink r:id="rId31" w:tooltip="https://rosreestr.gov.ru/upload/Doc/press/%D0%94%D0%90%D0%A7%D0%9D%D0%90%D0%AF%20%D0%90%D0%9C%D0%9D%D0%98%D0%A1%D0%A2%D0%98%D0%AF%201.0_%D0%A3-11-27112025.pdf" w:history="1">
        <w:r>
          <w:rPr>
            <w:b w:val="0"/>
            <w:bCs w:val="0"/>
            <w:highlight w:val="none"/>
          </w:rPr>
          <w:t xml:space="preserve">по ссылке</w:t>
        </w:r>
      </w:hyperlink>
      <w:r>
        <w:rPr>
          <w:b w:val="0"/>
          <w:bCs w:val="0"/>
          <w:highlight w:val="none"/>
        </w:rPr>
        <w:t xml:space="preserve"> </w:t>
      </w:r>
      <w:r>
        <w:rPr>
          <w:b w:val="0"/>
          <w:bCs w:val="0"/>
          <w:highlight w:val="none"/>
        </w:rPr>
        <w:t xml:space="preserve">https://rosreestr.gov.ru/upload/Doc/press/%D0%94%D0%90%D0%A7%D0%9D%D0%90%D0%AF%20%D0%90%D0%9C%D0%9D%D0%98%D0%A1%D0%A2%D0%98%D0%AF%201.0_%D0%A3-11-27112025.pdf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</w:r>
      <w:r>
        <w:rPr>
          <w:b/>
          <w:bCs/>
          <w:highlight w:val="none"/>
        </w:rPr>
        <w:t xml:space="preserve">9. </w:t>
      </w:r>
      <w:r>
        <w:rPr>
          <w:b/>
          <w:bCs/>
          <w:highlight w:val="none"/>
        </w:rPr>
        <w:t xml:space="preserve">Росреестр провёл итоговую коллегию ведомства о результатах работы за 2025.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На территории Военно-патриотического парка «Патриот» в Московской области состоялось заседание итоговой коллегии Росреестра, где обсудили результаты работы в 2025 году и приоритетные задачи на ближайшее время. С приветственным словом выступил курирующий де</w:t>
      </w:r>
      <w:r>
        <w:rPr>
          <w:b w:val="0"/>
          <w:bCs w:val="0"/>
          <w:highlight w:val="none"/>
        </w:rPr>
        <w:t xml:space="preserve">ятельность ведомства Заместитель Председателя Правительства </w:t>
      </w:r>
      <w:r>
        <w:rPr>
          <w:b w:val="0"/>
          <w:bCs w:val="0"/>
          <w:highlight w:val="none"/>
        </w:rPr>
        <w:t xml:space="preserve">Марат Хуснуллин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«Хочу отметить, что Росреестром в 2025 году достигнуты все показатели. В рамках нацпроекта «Инфраструктура для жизни» по итогам прошлого года в стране введен максимальный объем жилой и нежилой недвижимости – почти </w:t>
      </w:r>
      <w:r>
        <w:rPr>
          <w:b w:val="0"/>
          <w:bCs w:val="0"/>
          <w:highlight w:val="none"/>
        </w:rPr>
        <w:t xml:space="preserve">150</w:t>
      </w:r>
      <w:r>
        <w:rPr>
          <w:b w:val="0"/>
          <w:bCs w:val="0"/>
          <w:highlight w:val="none"/>
        </w:rPr>
        <w:t xml:space="preserve"> млн кв. м. Без участия Росреестра эти показатели были бы недостижимы. В условиях текущих вызовов сфера земли и недвижимости имеет особое значение. Президентом поставлена задача к 2030 году повысить капитализацию страны до более чем </w:t>
      </w:r>
      <w:r>
        <w:rPr>
          <w:b w:val="0"/>
          <w:bCs w:val="0"/>
          <w:highlight w:val="none"/>
        </w:rPr>
        <w:t xml:space="preserve">1</w:t>
      </w:r>
      <w:r>
        <w:rPr>
          <w:b w:val="0"/>
          <w:bCs w:val="0"/>
          <w:highlight w:val="none"/>
        </w:rPr>
        <w:t xml:space="preserve"> квадриллиона рублей. Эту задачу нужно решать с опережением. Росреестр должен обеспечить контроль и координацию этой работы. Также до 2030 года необходимо довести градостроительный потенциал для жилищного строительства до полумиллиона гектаров, активнее во</w:t>
      </w:r>
      <w:r>
        <w:rPr>
          <w:b w:val="0"/>
          <w:bCs w:val="0"/>
          <w:highlight w:val="none"/>
        </w:rPr>
        <w:t xml:space="preserve">влекать в оборот неиспользуемые земли. Каждый гектар земли в стране должен работать - для жилья, производства или рекреации. Кроме того, необходимо усилить работу по сокращению инвестиционно-строительного цикла»,</w:t>
      </w:r>
      <w:r>
        <w:rPr>
          <w:b w:val="0"/>
          <w:bCs w:val="0"/>
          <w:highlight w:val="none"/>
        </w:rPr>
        <w:t xml:space="preserve"> - сказал </w:t>
      </w:r>
      <w:r>
        <w:rPr>
          <w:b w:val="0"/>
          <w:bCs w:val="0"/>
          <w:highlight w:val="none"/>
        </w:rPr>
        <w:t xml:space="preserve">Марат Хуснуллин.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Вице-премьер</w:t>
      </w:r>
      <w:r>
        <w:rPr>
          <w:b w:val="0"/>
          <w:bCs w:val="0"/>
          <w:highlight w:val="none"/>
        </w:rPr>
        <w:t xml:space="preserve"> отметил, что ведется большая работа в воссоединенных регионах, в том числе началось проведение кадастровой оценки.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Одним из приоритетов </w:t>
      </w:r>
      <w:r>
        <w:rPr>
          <w:b w:val="0"/>
          <w:bCs w:val="0"/>
          <w:highlight w:val="none"/>
        </w:rPr>
        <w:t xml:space="preserve">вице-премьер</w:t>
      </w:r>
      <w:r>
        <w:rPr>
          <w:b w:val="0"/>
          <w:bCs w:val="0"/>
          <w:highlight w:val="none"/>
        </w:rPr>
        <w:t xml:space="preserve"> также назвал внедрение цифровой платформы «Национальная система пространственных данных». Это единый источник данных о земле и недвижимости и основной ресурс для поиска земли, решения поставленных задач.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Также с приветственным словом к участникам обратился Заместитель Председателя Совета Федерации </w:t>
      </w:r>
      <w:r>
        <w:rPr>
          <w:b w:val="0"/>
          <w:bCs w:val="0"/>
          <w:highlight w:val="none"/>
        </w:rPr>
        <w:t xml:space="preserve">Николай Журавлев</w:t>
      </w:r>
      <w:r>
        <w:rPr>
          <w:b w:val="0"/>
          <w:bCs w:val="0"/>
          <w:highlight w:val="none"/>
        </w:rPr>
        <w:t xml:space="preserve">. Он поблагодарил </w:t>
      </w:r>
      <w:r>
        <w:rPr>
          <w:b w:val="0"/>
          <w:bCs w:val="0"/>
          <w:highlight w:val="none"/>
        </w:rPr>
        <w:t xml:space="preserve">Олега Скуфинского</w:t>
      </w:r>
      <w:r>
        <w:rPr>
          <w:b w:val="0"/>
          <w:bCs w:val="0"/>
          <w:highlight w:val="none"/>
        </w:rPr>
        <w:t xml:space="preserve"> и команду Росреестра за тесное и конструктивное взаимодействие с верхней палатой парламента в рамках законотворческой деятельности. </w:t>
      </w:r>
      <w:r>
        <w:rPr>
          <w:b w:val="0"/>
          <w:bCs w:val="0"/>
          <w:highlight w:val="none"/>
        </w:rPr>
        <w:t xml:space="preserve">Николай Журавлев</w:t>
      </w:r>
      <w:r>
        <w:rPr>
          <w:b w:val="0"/>
          <w:bCs w:val="0"/>
          <w:highlight w:val="none"/>
        </w:rPr>
        <w:t xml:space="preserve"> подчеркнул важность работы Росреестра по цифровизации госуслуг и созданию отечественной электронной картографической основы для обеспечения всеобъемлющего учета объектов недвижимости, что позволит ввести в оборот неиспользуемые активы.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Руководитель Росреестра </w:t>
      </w:r>
      <w:r>
        <w:rPr>
          <w:b w:val="0"/>
          <w:bCs w:val="0"/>
          <w:highlight w:val="none"/>
        </w:rPr>
        <w:t xml:space="preserve">Олег Скуфинский</w:t>
      </w:r>
      <w:r>
        <w:rPr>
          <w:b w:val="0"/>
          <w:bCs w:val="0"/>
          <w:highlight w:val="none"/>
        </w:rPr>
        <w:t xml:space="preserve"> поблагодарил за поддержку Правительство РФ и лично </w:t>
      </w:r>
      <w:r>
        <w:rPr>
          <w:b w:val="0"/>
          <w:bCs w:val="0"/>
          <w:highlight w:val="none"/>
        </w:rPr>
        <w:t xml:space="preserve">Марата Шакирзяновича Хуснуллина</w:t>
      </w:r>
      <w:r>
        <w:rPr>
          <w:b w:val="0"/>
          <w:bCs w:val="0"/>
          <w:highlight w:val="none"/>
        </w:rPr>
        <w:t xml:space="preserve">, а также за конструктивное взаимодействие - сенаторов и депутатский корпус. Он отметил, что в 2020 году перед ведомством стояли масштабные вызовы. Большинство регионов работали в своих системах учета и регистрации прав, люди часто получали приостановки и </w:t>
      </w:r>
      <w:r>
        <w:rPr>
          <w:b w:val="0"/>
          <w:bCs w:val="0"/>
          <w:highlight w:val="none"/>
        </w:rPr>
        <w:t xml:space="preserve">отказы, а сведения о земле и недвижимости были разрознены по множеству федеральных, региональных и муниципальных систем. В результате за </w:t>
      </w:r>
      <w:r>
        <w:rPr>
          <w:b w:val="0"/>
          <w:bCs w:val="0"/>
          <w:highlight w:val="none"/>
        </w:rPr>
        <w:t xml:space="preserve">5</w:t>
      </w:r>
      <w:r>
        <w:rPr>
          <w:b w:val="0"/>
          <w:bCs w:val="0"/>
          <w:highlight w:val="none"/>
        </w:rPr>
        <w:t xml:space="preserve"> лет создан прочный законодательный фундамент, принято </w:t>
      </w:r>
      <w:r>
        <w:rPr>
          <w:b w:val="0"/>
          <w:bCs w:val="0"/>
          <w:highlight w:val="none"/>
        </w:rPr>
        <w:t xml:space="preserve">100</w:t>
      </w:r>
      <w:r>
        <w:rPr>
          <w:b w:val="0"/>
          <w:bCs w:val="0"/>
          <w:highlight w:val="none"/>
        </w:rPr>
        <w:t xml:space="preserve"> федеральных законов.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«С 2020 года количество оказанных Росреестром услуг выросло в четыре раза - до </w:t>
      </w:r>
      <w:r>
        <w:rPr>
          <w:b w:val="0"/>
          <w:bCs w:val="0"/>
          <w:highlight w:val="none"/>
        </w:rPr>
        <w:t xml:space="preserve">524</w:t>
      </w:r>
      <w:r>
        <w:rPr>
          <w:b w:val="0"/>
          <w:bCs w:val="0"/>
          <w:highlight w:val="none"/>
        </w:rPr>
        <w:t xml:space="preserve"> млн в год. Важнейшим историческим событием стал переход всех регионов на Единую централизованную систему учета и регистрации прав – ФГИС ЕГРН. На сегодняшний день система модернизирована и пересобрана на отечественных технологиях. До конца этого года нам </w:t>
      </w:r>
      <w:r>
        <w:rPr>
          <w:b w:val="0"/>
          <w:bCs w:val="0"/>
          <w:highlight w:val="none"/>
        </w:rPr>
        <w:t xml:space="preserve">необходимо завершить внедрение ФГИС ЕГРН 2.0</w:t>
      </w:r>
      <w:r>
        <w:rPr>
          <w:b w:val="0"/>
          <w:bCs w:val="0"/>
          <w:highlight w:val="none"/>
        </w:rPr>
        <w:t xml:space="preserve"> </w:t>
      </w:r>
      <w:r>
        <w:rPr>
          <w:b w:val="0"/>
          <w:bCs w:val="0"/>
          <w:highlight w:val="none"/>
        </w:rPr>
        <w:t xml:space="preserve">во всех регионах страны. Благодаря реинжинирингу процессов, внедрению ИИ, выводу услуг на ЕПГУ, доля электронной ипотеки достигла </w:t>
      </w:r>
      <w:r>
        <w:rPr>
          <w:b w:val="0"/>
          <w:bCs w:val="0"/>
          <w:highlight w:val="none"/>
        </w:rPr>
        <w:t xml:space="preserve">93%</w:t>
      </w:r>
      <w:r>
        <w:rPr>
          <w:b w:val="0"/>
          <w:bCs w:val="0"/>
          <w:highlight w:val="none"/>
        </w:rPr>
        <w:t xml:space="preserve">, договоров долевого участия – </w:t>
      </w:r>
      <w:r>
        <w:rPr>
          <w:b w:val="0"/>
          <w:bCs w:val="0"/>
          <w:highlight w:val="none"/>
        </w:rPr>
        <w:t xml:space="preserve">100%</w:t>
      </w:r>
      <w:r>
        <w:rPr>
          <w:b w:val="0"/>
          <w:bCs w:val="0"/>
          <w:highlight w:val="none"/>
        </w:rPr>
        <w:t xml:space="preserve">,</w:t>
      </w:r>
      <w:r>
        <w:rPr>
          <w:b w:val="0"/>
          <w:bCs w:val="0"/>
          <w:highlight w:val="none"/>
        </w:rPr>
        <w:t xml:space="preserve"> </w:t>
      </w:r>
      <w:r>
        <w:rPr>
          <w:b w:val="0"/>
          <w:bCs w:val="0"/>
          <w:highlight w:val="none"/>
        </w:rPr>
        <w:t xml:space="preserve">приостановки по «бытовой» недвижимости практически сведены к нулю. В 2021 году впервые в истории ведомства утверждена госпрограмма «Национальная система пространственных данных», прямой вклад от реализации которой в экономику России, по оценке Высшей школы</w:t>
      </w:r>
      <w:r>
        <w:rPr>
          <w:b w:val="0"/>
          <w:bCs w:val="0"/>
          <w:highlight w:val="none"/>
        </w:rPr>
        <w:t xml:space="preserve"> экономики, за 4 года составил более </w:t>
      </w:r>
      <w:r>
        <w:rPr>
          <w:b w:val="0"/>
          <w:bCs w:val="0"/>
          <w:highlight w:val="none"/>
        </w:rPr>
        <w:t xml:space="preserve">600 млрд</w:t>
      </w:r>
      <w:r>
        <w:rPr>
          <w:b w:val="0"/>
          <w:bCs w:val="0"/>
          <w:highlight w:val="none"/>
        </w:rPr>
        <w:t xml:space="preserve"> рублей», - </w:t>
      </w:r>
      <w:r>
        <w:rPr>
          <w:b w:val="0"/>
          <w:bCs w:val="0"/>
          <w:highlight w:val="none"/>
        </w:rPr>
        <w:t xml:space="preserve">заявил </w:t>
      </w:r>
      <w:r>
        <w:rPr>
          <w:b w:val="0"/>
          <w:bCs w:val="0"/>
          <w:highlight w:val="none"/>
        </w:rPr>
        <w:t xml:space="preserve">Олег Скуфинский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рамках госпрограммы НСПД впервые в новейшей истории страны сформирована единая федеральная сеть геодезических станций, которая объединила около </w:t>
      </w:r>
      <w:r>
        <w:rPr>
          <w:b w:val="0"/>
          <w:bCs w:val="0"/>
          <w:highlight w:val="none"/>
        </w:rPr>
        <w:t xml:space="preserve">3</w:t>
      </w:r>
      <w:r>
        <w:rPr>
          <w:b w:val="0"/>
          <w:bCs w:val="0"/>
          <w:highlight w:val="none"/>
        </w:rPr>
        <w:t xml:space="preserve"> тыс. частных и региональных дифференциальных геодезических станций. Практически с нуля создана ЕЭКО – государственная цифровая карта страны, которая уже сформирована на </w:t>
      </w:r>
      <w:r>
        <w:rPr>
          <w:b w:val="0"/>
          <w:bCs w:val="0"/>
          <w:highlight w:val="none"/>
        </w:rPr>
        <w:t xml:space="preserve">80%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Важной задачей остаётся выявление правообладателей и уточнение границ земельных участков - за 5 лет количество объектов без прав сократилось на </w:t>
      </w:r>
      <w:r>
        <w:rPr>
          <w:b w:val="0"/>
          <w:bCs w:val="0"/>
          <w:highlight w:val="none"/>
        </w:rPr>
        <w:t xml:space="preserve">24 млн</w:t>
      </w:r>
      <w:r>
        <w:rPr>
          <w:b w:val="0"/>
          <w:bCs w:val="0"/>
          <w:highlight w:val="none"/>
        </w:rPr>
        <w:t xml:space="preserve"> - до </w:t>
      </w:r>
      <w:r>
        <w:rPr>
          <w:b w:val="0"/>
          <w:bCs w:val="0"/>
          <w:highlight w:val="none"/>
        </w:rPr>
        <w:t xml:space="preserve">23,8 млн</w:t>
      </w:r>
      <w:r>
        <w:rPr>
          <w:b w:val="0"/>
          <w:bCs w:val="0"/>
          <w:highlight w:val="none"/>
        </w:rPr>
        <w:t xml:space="preserve">, уточнены около </w:t>
      </w:r>
      <w:r>
        <w:rPr>
          <w:b w:val="0"/>
          <w:bCs w:val="0"/>
          <w:highlight w:val="none"/>
        </w:rPr>
        <w:t xml:space="preserve">14 млн</w:t>
      </w:r>
      <w:r>
        <w:rPr>
          <w:b w:val="0"/>
          <w:bCs w:val="0"/>
          <w:highlight w:val="none"/>
        </w:rPr>
        <w:t xml:space="preserve"> границ земельных участков, еще около </w:t>
      </w:r>
      <w:r>
        <w:rPr>
          <w:b w:val="0"/>
          <w:bCs w:val="0"/>
          <w:highlight w:val="none"/>
        </w:rPr>
        <w:t xml:space="preserve">15 млн</w:t>
      </w:r>
      <w:r>
        <w:rPr>
          <w:b w:val="0"/>
          <w:bCs w:val="0"/>
          <w:highlight w:val="none"/>
        </w:rPr>
        <w:t xml:space="preserve"> участков остаются без установленных границ. Эта деятельность, в том числе проведение комплексных кадастровых работ, напрямую влияет на повышение капитализации территорий страны, отметил </w:t>
      </w:r>
      <w:r>
        <w:rPr>
          <w:b w:val="0"/>
          <w:bCs w:val="0"/>
          <w:highlight w:val="none"/>
        </w:rPr>
        <w:t xml:space="preserve">руководитель ведомства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С существенным опережением идёт внедрение платформы НСПД, которая развернута на территории всей страны и активно используется. Сегодня в ней более </w:t>
      </w:r>
      <w:r>
        <w:rPr>
          <w:b w:val="0"/>
          <w:bCs w:val="0"/>
          <w:highlight w:val="none"/>
        </w:rPr>
        <w:t xml:space="preserve">5 000 </w:t>
      </w:r>
      <w:r>
        <w:rPr>
          <w:b w:val="0"/>
          <w:bCs w:val="0"/>
          <w:highlight w:val="none"/>
        </w:rPr>
        <w:t xml:space="preserve">слоев пространственных данных</w:t>
      </w:r>
      <w:r>
        <w:rPr>
          <w:b w:val="0"/>
          <w:bCs w:val="0"/>
          <w:highlight w:val="none"/>
        </w:rPr>
        <w:t xml:space="preserve"> </w:t>
      </w:r>
      <w:r>
        <w:rPr>
          <w:b w:val="0"/>
          <w:bCs w:val="0"/>
          <w:highlight w:val="none"/>
        </w:rPr>
        <w:t xml:space="preserve">из </w:t>
      </w:r>
      <w:r>
        <w:rPr>
          <w:b w:val="0"/>
          <w:bCs w:val="0"/>
          <w:highlight w:val="none"/>
        </w:rPr>
        <w:t xml:space="preserve">34</w:t>
      </w:r>
      <w:r>
        <w:rPr>
          <w:b w:val="0"/>
          <w:bCs w:val="0"/>
          <w:highlight w:val="none"/>
        </w:rPr>
        <w:t xml:space="preserve"> федеральных, </w:t>
      </w:r>
      <w:r>
        <w:rPr>
          <w:b w:val="0"/>
          <w:bCs w:val="0"/>
          <w:highlight w:val="none"/>
        </w:rPr>
        <w:t xml:space="preserve">93 </w:t>
      </w:r>
      <w:r>
        <w:rPr>
          <w:b w:val="0"/>
          <w:bCs w:val="0"/>
          <w:highlight w:val="none"/>
        </w:rPr>
        <w:t xml:space="preserve">региональных и </w:t>
      </w:r>
      <w:r>
        <w:rPr>
          <w:b w:val="0"/>
          <w:bCs w:val="0"/>
          <w:highlight w:val="none"/>
        </w:rPr>
        <w:t xml:space="preserve">8</w:t>
      </w:r>
      <w:r>
        <w:rPr>
          <w:b w:val="0"/>
          <w:bCs w:val="0"/>
          <w:highlight w:val="none"/>
        </w:rPr>
        <w:t xml:space="preserve"> коммерческих систем.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Одним из приоритетных направлений является взаимодействие с Госкорпорацией «Роскосмос». Новый вектор развития – наращивание объема использования данных дистанционного зондирования Земли. В 2026-2027 годах совместно будет реализован пилотный проект по отраб</w:t>
      </w:r>
      <w:r>
        <w:rPr>
          <w:b w:val="0"/>
          <w:bCs w:val="0"/>
          <w:highlight w:val="none"/>
        </w:rPr>
        <w:t xml:space="preserve">отке технологии автоматизированного мониторинга изменений местности на основе данных ДЗЗ из космоса. С 2030 года Служба рассчитывает выйти на постоянный мониторинг и ежегодный цикл обновления картографической основы, что позволит вдвое повысить производите</w:t>
      </w:r>
      <w:r>
        <w:rPr>
          <w:b w:val="0"/>
          <w:bCs w:val="0"/>
          <w:highlight w:val="none"/>
        </w:rPr>
        <w:t xml:space="preserve">льность труда.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рамках заседания было отмечено, что в целях реализации задач по повышению капитализации территорий страны и выявления земель для жилищного строительства важно обеспечить комплекс мер. В том числе – утвердить новую Стратегию развития ведомства на период д</w:t>
      </w:r>
      <w:r>
        <w:rPr>
          <w:b w:val="0"/>
          <w:bCs w:val="0"/>
          <w:highlight w:val="none"/>
        </w:rPr>
        <w:t xml:space="preserve">о 2036 года, приоретизировать мероприятия госпрограммы НСПД, продолжить внедрение технологий ИИ, обеспечить повышение производительности труда и завершить работу по формированию полного и точного реестра недвижимости.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Кроме того, в 2026 году важно обеспечить поддержку строительной отрасли, включая выявление земли и ее вовлечение в оборот, а также информационное взаимодействие с платформой НСПД на территории всех субъектов России. Также совместно с ППК «Роскадастр» необх</w:t>
      </w:r>
      <w:r>
        <w:rPr>
          <w:b w:val="0"/>
          <w:bCs w:val="0"/>
          <w:highlight w:val="none"/>
        </w:rPr>
        <w:t xml:space="preserve">одимо провести реинжиниринг технологических процессов.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Помимо этого, на заседании коллегии было рассмотрено взаимодействие Росреестра с палатами Федерального собрания РФ в законотворческом процессе. С докладами о результатах этой работы выступили член Комитета Совета Федерации по аграрно-продовольственной поли</w:t>
      </w:r>
      <w:r>
        <w:rPr>
          <w:b w:val="0"/>
          <w:bCs w:val="0"/>
          <w:highlight w:val="none"/>
        </w:rPr>
        <w:t xml:space="preserve">тике и природопользованию </w:t>
      </w:r>
      <w:r>
        <w:rPr>
          <w:b w:val="0"/>
          <w:bCs w:val="0"/>
          <w:highlight w:val="none"/>
        </w:rPr>
        <w:t xml:space="preserve">Александр Наролин</w:t>
      </w:r>
      <w:r>
        <w:rPr>
          <w:b w:val="0"/>
          <w:bCs w:val="0"/>
          <w:highlight w:val="none"/>
        </w:rPr>
        <w:t xml:space="preserve"> и первый заместитель председателя Комитета Госдумы по государственному строительству и законодательству </w:t>
      </w:r>
      <w:r>
        <w:rPr>
          <w:b w:val="0"/>
          <w:bCs w:val="0"/>
          <w:highlight w:val="none"/>
        </w:rPr>
        <w:t xml:space="preserve">Даниил Бессарабов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Председатель Общественного совета при Росреестре </w:t>
      </w:r>
      <w:r>
        <w:rPr>
          <w:b w:val="0"/>
          <w:bCs w:val="0"/>
          <w:highlight w:val="none"/>
        </w:rPr>
        <w:t xml:space="preserve">Александр Каньшин</w:t>
      </w:r>
      <w:r>
        <w:rPr>
          <w:b w:val="0"/>
          <w:bCs w:val="0"/>
          <w:highlight w:val="none"/>
        </w:rPr>
        <w:t xml:space="preserve"> подвёл основные итоги работы совещательного органа за 2025 год. Общественный совет выполняет важную функцию, оказывая содействие и поддержку Службе в решении поставленных задач. В 2025 году было проведено </w:t>
      </w:r>
      <w:r>
        <w:rPr>
          <w:b w:val="0"/>
          <w:bCs w:val="0"/>
          <w:highlight w:val="none"/>
        </w:rPr>
        <w:t xml:space="preserve">6 </w:t>
      </w:r>
      <w:r>
        <w:rPr>
          <w:b w:val="0"/>
          <w:bCs w:val="0"/>
          <w:highlight w:val="none"/>
        </w:rPr>
        <w:t xml:space="preserve">заседаний Общественного совета, по итогам которых Росреестру и членам Совета даны </w:t>
      </w:r>
      <w:r>
        <w:rPr>
          <w:b w:val="0"/>
          <w:bCs w:val="0"/>
          <w:highlight w:val="none"/>
        </w:rPr>
        <w:t xml:space="preserve">69</w:t>
      </w:r>
      <w:r>
        <w:rPr>
          <w:b w:val="0"/>
          <w:bCs w:val="0"/>
          <w:highlight w:val="none"/>
        </w:rPr>
        <w:t xml:space="preserve"> различных рекомендаций. На заседаниях проработаны вопросы реализации госпрограммы НСПД, совершенствования законодательства, регулирования рынка риелторских услуг, использования цифровой платформы НСПД профессиональным сообществом и другие актуальные вопро</w:t>
      </w:r>
      <w:r>
        <w:rPr>
          <w:b w:val="0"/>
          <w:bCs w:val="0"/>
          <w:highlight w:val="none"/>
        </w:rPr>
        <w:t xml:space="preserve">сы.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Ректор Московского государственного университета геодезии и картографии (МИИГАиК) </w:t>
      </w:r>
      <w:r>
        <w:rPr>
          <w:b w:val="0"/>
          <w:bCs w:val="0"/>
          <w:highlight w:val="none"/>
        </w:rPr>
        <w:t xml:space="preserve">Надежда Камынина</w:t>
      </w:r>
      <w:r>
        <w:rPr>
          <w:b w:val="0"/>
          <w:bCs w:val="0"/>
          <w:highlight w:val="none"/>
        </w:rPr>
        <w:t xml:space="preserve"> рассказала о подготовке кадров и формировании научного потенциала для реализации госпрограммы НСПД. В частности, с 2022 года на базе Центра отраслевых компетенций вуза прошли обучение более </w:t>
      </w:r>
      <w:r>
        <w:rPr>
          <w:b w:val="0"/>
          <w:bCs w:val="0"/>
          <w:highlight w:val="none"/>
        </w:rPr>
        <w:t xml:space="preserve">4</w:t>
      </w:r>
      <w:r>
        <w:rPr>
          <w:b w:val="0"/>
          <w:bCs w:val="0"/>
          <w:highlight w:val="none"/>
        </w:rPr>
        <w:t xml:space="preserve"> тыс. сотрудников системы Большого Росреестра, включая ППК «Роскадастр». Стартовавший по инициативе Росреестра и под личным руководством главы ведомства </w:t>
      </w:r>
      <w:r>
        <w:rPr>
          <w:b w:val="0"/>
          <w:bCs w:val="0"/>
          <w:highlight w:val="none"/>
        </w:rPr>
        <w:t xml:space="preserve">Олега Скуфинского</w:t>
      </w:r>
      <w:r>
        <w:rPr>
          <w:b w:val="0"/>
          <w:bCs w:val="0"/>
          <w:highlight w:val="none"/>
        </w:rPr>
        <w:t xml:space="preserve"> проект «Региональная школа НСПД» стал ключевым механизмом подготовки специалистов для работы с цифровой платформой.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заседании коллегии также приняли участие представители Администрации Президента РФ и полномочных представителей Президента в федеральных округах, Аппарата Правительства, Генерального штаба Вооруженных Сил РФ, Государственной Думы, Совета Федерации, Генпр</w:t>
      </w:r>
      <w:r>
        <w:rPr>
          <w:b w:val="0"/>
          <w:bCs w:val="0"/>
          <w:highlight w:val="none"/>
        </w:rPr>
        <w:t xml:space="preserve">окуратуры РФ, федеральных органов исполнительной власти, Российской академии наук, Центра военно-патриотического воспитания «Воин», территориальных органов Росреестра, ППК «Роскадастр» и её филиалов и др.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Кроме того, в рамках мероприятия состоялась церемония награждения сотрудников Росреестра и ППК «Роскадастр» государственными и ведомственными наградами, а также наградами Совета Федерации. Лучшим работникам их вручили </w:t>
      </w:r>
      <w:r>
        <w:rPr>
          <w:b w:val="0"/>
          <w:bCs w:val="0"/>
          <w:highlight w:val="none"/>
        </w:rPr>
        <w:t xml:space="preserve">Марат Хуснуллин</w:t>
      </w:r>
      <w:r>
        <w:rPr>
          <w:b w:val="0"/>
          <w:bCs w:val="0"/>
          <w:highlight w:val="none"/>
        </w:rPr>
        <w:t xml:space="preserve">, Заместитель Председателя Совета Федерации </w:t>
      </w:r>
      <w:r>
        <w:rPr>
          <w:b w:val="0"/>
          <w:bCs w:val="0"/>
          <w:highlight w:val="none"/>
        </w:rPr>
        <w:t xml:space="preserve">Николай Журавлев </w:t>
      </w:r>
      <w:r>
        <w:rPr>
          <w:b w:val="0"/>
          <w:bCs w:val="0"/>
          <w:highlight w:val="none"/>
        </w:rPr>
        <w:t xml:space="preserve">и </w:t>
      </w:r>
      <w:r>
        <w:rPr>
          <w:b w:val="0"/>
          <w:bCs w:val="0"/>
          <w:highlight w:val="none"/>
        </w:rPr>
        <w:t xml:space="preserve">Олег Скуфинский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  <w:t xml:space="preserve">10.</w:t>
      </w:r>
      <w:r>
        <w:rPr>
          <w:b/>
          <w:bCs/>
          <w:highlight w:val="none"/>
        </w:rPr>
        <w:t xml:space="preserve"> </w:t>
      </w:r>
      <w:r>
        <w:rPr>
          <w:b/>
          <w:bCs/>
          <w:highlight w:val="none"/>
        </w:rPr>
        <w:t xml:space="preserve">Росреестр и Роскадастр провели стратсессию «Держим курс ВМЕСТЕ».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Порядка </w:t>
      </w:r>
      <w:r>
        <w:rPr>
          <w:b w:val="0"/>
          <w:bCs w:val="0"/>
          <w:highlight w:val="none"/>
        </w:rPr>
        <w:t xml:space="preserve">300</w:t>
      </w:r>
      <w:r>
        <w:rPr>
          <w:b w:val="0"/>
          <w:bCs w:val="0"/>
          <w:highlight w:val="none"/>
        </w:rPr>
        <w:t xml:space="preserve"> руководителей управлений Росреестра и филиалов ППК «Роскадастр» со всей страны приняли участие в стратегической сессии «Держим курс ВМЕСТЕ», которая состоялась на территории Военно-патриотического парка «Патриот» в Московской области. Участники на протяже</w:t>
      </w:r>
      <w:r>
        <w:rPr>
          <w:b w:val="0"/>
          <w:bCs w:val="0"/>
          <w:highlight w:val="none"/>
        </w:rPr>
        <w:t xml:space="preserve">нии шести часов занимались поиском новых решений, которые станут ответом на современные вызовы в сфере земли и недвижимости.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мероприятии участвовали руководитель Росреестра </w:t>
      </w:r>
      <w:r>
        <w:rPr>
          <w:b w:val="0"/>
          <w:bCs w:val="0"/>
          <w:highlight w:val="none"/>
        </w:rPr>
        <w:t xml:space="preserve">Олег Скуфинский</w:t>
      </w:r>
      <w:r>
        <w:rPr>
          <w:b w:val="0"/>
          <w:bCs w:val="0"/>
          <w:highlight w:val="none"/>
        </w:rPr>
        <w:t xml:space="preserve">, генеральный директор ППК «Роскадастр» </w:t>
      </w:r>
      <w:r>
        <w:rPr>
          <w:b w:val="0"/>
          <w:bCs w:val="0"/>
          <w:highlight w:val="none"/>
        </w:rPr>
        <w:t xml:space="preserve">Татьяна Громова, </w:t>
      </w:r>
      <w:r>
        <w:rPr>
          <w:b w:val="0"/>
          <w:bCs w:val="0"/>
          <w:highlight w:val="none"/>
        </w:rPr>
        <w:t xml:space="preserve">губернатор Сахалинской области </w:t>
      </w:r>
      <w:r>
        <w:rPr>
          <w:b w:val="0"/>
          <w:bCs w:val="0"/>
          <w:highlight w:val="none"/>
        </w:rPr>
        <w:t xml:space="preserve">Валерий Лимаренко</w:t>
      </w:r>
      <w:r>
        <w:rPr>
          <w:b w:val="0"/>
          <w:bCs w:val="0"/>
          <w:highlight w:val="none"/>
        </w:rPr>
        <w:t xml:space="preserve">, Герой Российской Федерации, летчик-космонавт </w:t>
      </w:r>
      <w:r>
        <w:rPr>
          <w:b w:val="0"/>
          <w:bCs w:val="0"/>
          <w:highlight w:val="none"/>
        </w:rPr>
        <w:t xml:space="preserve">Сергей Рязанский </w:t>
      </w:r>
      <w:r>
        <w:rPr>
          <w:b w:val="0"/>
          <w:bCs w:val="0"/>
          <w:highlight w:val="none"/>
        </w:rPr>
        <w:t xml:space="preserve">и ректор Московского государственного университета геодезии и картографии (МИИГАиК)</w:t>
      </w:r>
      <w:r>
        <w:rPr>
          <w:b w:val="0"/>
          <w:bCs w:val="0"/>
          <w:highlight w:val="none"/>
        </w:rPr>
        <w:t xml:space="preserve"> Надежда Камынина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«Стратегическая сессия направлена на решение конкретных задач и вызовов, стоящих перед системой Большого Росреестра - дальнейший рост производительности труда, внедрение ИИ, повышение капитализации территории страны. Для нас очень важно «сверить часы» с на</w:t>
      </w:r>
      <w:r>
        <w:rPr>
          <w:b w:val="0"/>
          <w:bCs w:val="0"/>
          <w:highlight w:val="none"/>
        </w:rPr>
        <w:t xml:space="preserve">шими специалистами, которые работают на земле в каждом регионе страны, вместе с ними разработать конкретные решения и в результате сформировать детальный план мероприятий», </w:t>
      </w:r>
      <w:r>
        <w:rPr>
          <w:b w:val="0"/>
          <w:bCs w:val="0"/>
          <w:highlight w:val="none"/>
        </w:rPr>
        <w:t xml:space="preserve">- сказал </w:t>
      </w:r>
      <w:r>
        <w:rPr>
          <w:b w:val="0"/>
          <w:bCs w:val="0"/>
          <w:highlight w:val="none"/>
        </w:rPr>
        <w:t xml:space="preserve">Олег Скуфинский, </w:t>
      </w:r>
      <w:r>
        <w:rPr>
          <w:b w:val="0"/>
          <w:bCs w:val="0"/>
          <w:highlight w:val="none"/>
        </w:rPr>
        <w:t xml:space="preserve">обратившись с</w:t>
      </w:r>
      <w:r>
        <w:rPr>
          <w:b w:val="0"/>
          <w:bCs w:val="0"/>
          <w:highlight w:val="none"/>
        </w:rPr>
        <w:t xml:space="preserve"> </w:t>
      </w:r>
      <w:r>
        <w:rPr>
          <w:b w:val="0"/>
          <w:bCs w:val="0"/>
          <w:highlight w:val="none"/>
        </w:rPr>
        <w:t xml:space="preserve">приветствием к участникам.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свою очередь, </w:t>
      </w:r>
      <w:r>
        <w:rPr>
          <w:b w:val="0"/>
          <w:bCs w:val="0"/>
          <w:highlight w:val="none"/>
        </w:rPr>
        <w:t xml:space="preserve">Татьяна Громова</w:t>
      </w:r>
      <w:r>
        <w:rPr>
          <w:b w:val="0"/>
          <w:bCs w:val="0"/>
          <w:highlight w:val="none"/>
        </w:rPr>
        <w:t xml:space="preserve"> отметила, что для филиалов ППК «Роскадастр» открывается возможность совместно со специалистами центрального аппарата Росреестра обсудить инициативы по повышению производительности труда и внедрению новых технологий.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«Сегодня Роскадастр является неотъемлемой частью системы Большого Росреестра, отвечая за выполнение производственных задач на земле. Компания обеспечивает актуализацию Единой электронной картографической основы, последовательно развивает цифровую платформу</w:t>
      </w:r>
      <w:r>
        <w:rPr>
          <w:b w:val="0"/>
          <w:bCs w:val="0"/>
          <w:highlight w:val="none"/>
        </w:rPr>
        <w:t xml:space="preserve"> «Национальная система пространственных данных», проводит мероприятия в целях повышения капитализации территорий страны. С учетом достигнутых результатов коллегия и стратегическая сессия - важные практические шаги в повышении эффективности нашей работы</w:t>
      </w:r>
      <w:r>
        <w:rPr>
          <w:b w:val="0"/>
          <w:bCs w:val="0"/>
          <w:highlight w:val="none"/>
        </w:rPr>
        <w:t xml:space="preserve">», - сообщила </w:t>
      </w:r>
      <w:r>
        <w:rPr>
          <w:b w:val="0"/>
          <w:bCs w:val="0"/>
          <w:highlight w:val="none"/>
        </w:rPr>
        <w:t xml:space="preserve">Татьяна Громова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Валерий Лимаренко</w:t>
      </w:r>
      <w:r>
        <w:rPr>
          <w:b w:val="0"/>
          <w:bCs w:val="0"/>
          <w:highlight w:val="none"/>
        </w:rPr>
        <w:t xml:space="preserve">, под руководством которого Сахалинская область стала лидером в РФ по уровню внедрения цифровой платформы НСПД и размещению на ней мастер-планов, заявил о необходимости оперативного внедрения платформы на территории всей страны и обязательного её использов</w:t>
      </w:r>
      <w:r>
        <w:rPr>
          <w:b w:val="0"/>
          <w:bCs w:val="0"/>
          <w:highlight w:val="none"/>
        </w:rPr>
        <w:t xml:space="preserve">ания для территориального планирования, сокращения инвестиционно-строительного цикла и оказания качественных услуг населению. В качестве инициативы по развитию НСПД глава региона предложил разработать модуль для работы с 3Д-моделями территорий.  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Напомним, в 2024 году Сахалинская область первой в России загрузила мастер-план развития территорий в НСПД. В сентябре 2025 года в Южно-Сахалинске была открыта первая в стране региональная Школа НСПД, направленная на формирование кадрового потенциала в обл</w:t>
      </w:r>
      <w:r>
        <w:rPr>
          <w:b w:val="0"/>
          <w:bCs w:val="0"/>
          <w:highlight w:val="none"/>
        </w:rPr>
        <w:t xml:space="preserve">асти пространственных данных в ДФО. 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Летчик-космонавт </w:t>
      </w:r>
      <w:r>
        <w:rPr>
          <w:b w:val="0"/>
          <w:bCs w:val="0"/>
          <w:highlight w:val="none"/>
        </w:rPr>
        <w:t xml:space="preserve">Сергей Рязанский </w:t>
      </w:r>
      <w:r>
        <w:rPr>
          <w:b w:val="0"/>
          <w:bCs w:val="0"/>
          <w:highlight w:val="none"/>
        </w:rPr>
        <w:t xml:space="preserve">поделился опытом космического командообразования. Главным навыком на Земле и в космосе он назвал умение работать в команде. Космонавт подчеркнул, что, несмотря на инструкции, важно уметь принимать нестандартные решения и не останавливаться в развитии.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Модераторы сессии - статс-секретарь - заместитель руководителя Росреестра </w:t>
      </w:r>
      <w:r>
        <w:rPr>
          <w:b w:val="0"/>
          <w:bCs w:val="0"/>
          <w:highlight w:val="none"/>
        </w:rPr>
        <w:t xml:space="preserve">Алексей Бутовецкий</w:t>
      </w:r>
      <w:r>
        <w:rPr>
          <w:b w:val="0"/>
          <w:bCs w:val="0"/>
          <w:highlight w:val="none"/>
        </w:rPr>
        <w:t xml:space="preserve"> и заместитель генерального директора ППК «Роскадастр» </w:t>
      </w:r>
      <w:r>
        <w:rPr>
          <w:b w:val="0"/>
          <w:bCs w:val="0"/>
          <w:highlight w:val="none"/>
        </w:rPr>
        <w:t xml:space="preserve">Александр Соловьев -</w:t>
      </w:r>
      <w:r>
        <w:rPr>
          <w:b w:val="0"/>
          <w:bCs w:val="0"/>
          <w:highlight w:val="none"/>
        </w:rPr>
        <w:t xml:space="preserve"> разделили участников на </w:t>
      </w:r>
      <w:r>
        <w:rPr>
          <w:b w:val="0"/>
          <w:bCs w:val="0"/>
          <w:highlight w:val="none"/>
        </w:rPr>
        <w:t xml:space="preserve">25</w:t>
      </w:r>
      <w:r>
        <w:rPr>
          <w:b w:val="0"/>
          <w:bCs w:val="0"/>
          <w:highlight w:val="none"/>
        </w:rPr>
        <w:t xml:space="preserve"> команд, которые должны были выработать проектные инициативы и решения по представленным темам, а также эффекты, которые будут достигнуты.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Темами стратегической сессии стали: капитализация территорий России, ИИ-технологии и повышение производительности, кадровый потенциал и картография будущего.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Результатом работы стали </w:t>
      </w:r>
      <w:r>
        <w:rPr>
          <w:b w:val="0"/>
          <w:bCs w:val="0"/>
          <w:highlight w:val="none"/>
        </w:rPr>
        <w:t xml:space="preserve">25 </w:t>
      </w:r>
      <w:r>
        <w:rPr>
          <w:b w:val="0"/>
          <w:bCs w:val="0"/>
          <w:highlight w:val="none"/>
        </w:rPr>
        <w:t xml:space="preserve">проектных инициатив. Среди них: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pStyle w:val="1005"/>
        <w:numPr>
          <w:ilvl w:val="0"/>
          <w:numId w:val="55"/>
        </w:num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проект </w:t>
      </w:r>
      <w:r>
        <w:rPr>
          <w:b w:val="0"/>
          <w:bCs w:val="0"/>
          <w:highlight w:val="none"/>
        </w:rPr>
        <w:t xml:space="preserve">«Уточнение границ онлайн»</w:t>
      </w:r>
      <w:r>
        <w:rPr>
          <w:b w:val="0"/>
          <w:bCs w:val="0"/>
          <w:highlight w:val="none"/>
        </w:rPr>
        <w:t xml:space="preserve"> с добавлением отдельного слоя на платформе «Национальная система пространственных данных»;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pStyle w:val="1005"/>
        <w:numPr>
          <w:ilvl w:val="0"/>
          <w:numId w:val="55"/>
        </w:num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создание сервиса на НСПД </w:t>
      </w:r>
      <w:r>
        <w:rPr>
          <w:b w:val="0"/>
          <w:bCs w:val="0"/>
          <w:highlight w:val="none"/>
        </w:rPr>
        <w:t xml:space="preserve">«Земля для бизнеса»;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pStyle w:val="1005"/>
        <w:numPr>
          <w:ilvl w:val="0"/>
          <w:numId w:val="55"/>
        </w:num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реализация механизма </w:t>
      </w:r>
      <w:r>
        <w:rPr>
          <w:b w:val="0"/>
          <w:bCs w:val="0"/>
          <w:highlight w:val="none"/>
        </w:rPr>
        <w:t xml:space="preserve">«Космический пылесос»</w:t>
      </w:r>
      <w:r>
        <w:rPr>
          <w:b w:val="0"/>
          <w:bCs w:val="0"/>
          <w:highlight w:val="none"/>
        </w:rPr>
        <w:t xml:space="preserve">, который позволит непрерывно актуализировать картоснову с использованием данных ДЗЗ из космоса;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pStyle w:val="1005"/>
        <w:numPr>
          <w:ilvl w:val="0"/>
          <w:numId w:val="55"/>
        </w:num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проект </w:t>
      </w:r>
      <w:r>
        <w:rPr>
          <w:b w:val="0"/>
          <w:bCs w:val="0"/>
          <w:highlight w:val="none"/>
        </w:rPr>
        <w:t xml:space="preserve">«Беспилотная монополия»</w:t>
      </w:r>
      <w:r>
        <w:rPr>
          <w:b w:val="0"/>
          <w:bCs w:val="0"/>
          <w:highlight w:val="none"/>
        </w:rPr>
        <w:t xml:space="preserve"> с новыми направлениями использования БАС;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pStyle w:val="1005"/>
        <w:numPr>
          <w:ilvl w:val="0"/>
          <w:numId w:val="55"/>
        </w:numPr>
        <w:contextualSpacing/>
        <w:ind w:left="0" w:right="0" w:firstLine="709"/>
        <w:spacing w:after="45" w:afterAutospacing="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создание </w:t>
      </w:r>
      <w:r>
        <w:rPr>
          <w:b w:val="0"/>
          <w:bCs w:val="0"/>
          <w:highlight w:val="none"/>
        </w:rPr>
        <w:t xml:space="preserve">«Карты для жизни»</w:t>
      </w:r>
      <w:r>
        <w:rPr>
          <w:b w:val="0"/>
          <w:bCs w:val="0"/>
          <w:highlight w:val="none"/>
        </w:rPr>
        <w:t xml:space="preserve">, которую можно использовать для решения широкого круга жизненных ситуаций, и др.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59" w:afterAutospacing="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Эти и другие инициативы были объединены в более крупные проекты, которые команды защитили перед коллегами.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завершение мероприятия </w:t>
      </w:r>
      <w:r>
        <w:rPr>
          <w:b w:val="0"/>
          <w:bCs w:val="0"/>
          <w:highlight w:val="none"/>
        </w:rPr>
        <w:t xml:space="preserve">руководитель Росреестра</w:t>
      </w:r>
      <w:r>
        <w:rPr>
          <w:b w:val="0"/>
          <w:bCs w:val="0"/>
          <w:highlight w:val="none"/>
        </w:rPr>
        <w:t xml:space="preserve"> отметил важность реализации отдельных инициатив для достижения национальных целей развития и улучшения качества жизни россиян.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</w:r>
      <w:r>
        <w:rPr>
          <w:b/>
          <w:bCs/>
          <w:highlight w:val="none"/>
        </w:rPr>
        <w:t xml:space="preserve">11.</w:t>
      </w:r>
      <w:r>
        <w:rPr>
          <w:b/>
          <w:bCs/>
          <w:highlight w:val="none"/>
        </w:rPr>
        <w:t xml:space="preserve"> </w:t>
      </w:r>
      <w:r>
        <w:rPr>
          <w:b/>
          <w:bCs/>
          <w:highlight w:val="none"/>
        </w:rPr>
        <w:t xml:space="preserve">Росреестр рассказал о способах повышения капитализации территорий муниципалитетов.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Статс-секретарь – заместитель руководителя Росреестра </w:t>
      </w:r>
      <w:r>
        <w:rPr>
          <w:b w:val="0"/>
          <w:bCs w:val="0"/>
          <w:highlight w:val="none"/>
        </w:rPr>
        <w:t xml:space="preserve">Алексей Бутовецкий</w:t>
      </w:r>
      <w:r>
        <w:rPr>
          <w:b w:val="0"/>
          <w:bCs w:val="0"/>
          <w:highlight w:val="none"/>
        </w:rPr>
        <w:t xml:space="preserve"> принял участие в сессии «Инструменты устойчивого роста муниципальных образований», которая состоялась на площадке III Всероссийского муниципального форума «Малая Родина – сила России» в Национальном центре «Россия». 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Алексей Бутовецкий</w:t>
      </w:r>
      <w:r>
        <w:rPr>
          <w:b w:val="0"/>
          <w:bCs w:val="0"/>
          <w:highlight w:val="none"/>
        </w:rPr>
        <w:t xml:space="preserve"> рассказал о мерах по повышению капитализации территорий регионов и муниципальных образований.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том числе он отметил, что в соответствии с принятыми изменениями в законодательство с марта прошлого года нельзя эксплуатировать постройки, на которые отсутствуют права. Также, к примеру, права на дом должны быть зарегистрированы в случае желания граждан</w:t>
      </w:r>
      <w:r>
        <w:rPr>
          <w:b w:val="0"/>
          <w:bCs w:val="0"/>
          <w:highlight w:val="none"/>
        </w:rPr>
        <w:t xml:space="preserve">ина участвовать в программе социальной газификации. Кроме того, развивается судебная практика по взысканию неосновательного обогащения за пользование самовольно занятым земельным участком, находящимся в государственной или муниципальной собственности. При </w:t>
      </w:r>
      <w:r>
        <w:rPr>
          <w:b w:val="0"/>
          <w:bCs w:val="0"/>
          <w:highlight w:val="none"/>
        </w:rPr>
        <w:t xml:space="preserve">этом Земельный кодекс РФ обязывает освободить такой земельный участок.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Одним из основных инструментов капитализации заместитель руководителя Росреестра назвал государственную кадастровую оценку, и здесь важное значение приобретает качество сведений об объектах недвижимости в ЕГРН.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Также </w:t>
      </w:r>
      <w:r>
        <w:rPr>
          <w:b w:val="0"/>
          <w:bCs w:val="0"/>
          <w:highlight w:val="none"/>
        </w:rPr>
        <w:t xml:space="preserve">Алексей Бутовецкий </w:t>
      </w:r>
      <w:r>
        <w:rPr>
          <w:b w:val="0"/>
          <w:bCs w:val="0"/>
          <w:highlight w:val="none"/>
        </w:rPr>
        <w:t xml:space="preserve">рассказал участникам мероприятия о новом инструменте в рамках федерального закона № 344-ФЗ, который позволяет муниципалитету заключить соглашение с ППК «Роскадастр» в целях выявления свободной земли и вовлечения ее в оборот.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«Росреестром совместно с ППК «Роскадастр» реализован пилотный проект, в рамках которого указанные работы проведены в </w:t>
      </w:r>
      <w:r>
        <w:rPr>
          <w:b w:val="0"/>
          <w:bCs w:val="0"/>
          <w:highlight w:val="none"/>
        </w:rPr>
        <w:t xml:space="preserve">631 </w:t>
      </w:r>
      <w:r>
        <w:rPr>
          <w:b w:val="0"/>
          <w:bCs w:val="0"/>
          <w:highlight w:val="none"/>
        </w:rPr>
        <w:t xml:space="preserve">населенном пункте. На сегодняшний день заключено </w:t>
      </w:r>
      <w:r>
        <w:rPr>
          <w:b w:val="0"/>
          <w:bCs w:val="0"/>
          <w:highlight w:val="none"/>
        </w:rPr>
        <w:t xml:space="preserve">178</w:t>
      </w:r>
      <w:r>
        <w:rPr>
          <w:b w:val="0"/>
          <w:bCs w:val="0"/>
          <w:highlight w:val="none"/>
        </w:rPr>
        <w:t xml:space="preserve"> соглашений с органами местного самоуправления первого уровня и </w:t>
      </w:r>
      <w:r>
        <w:rPr>
          <w:b w:val="0"/>
          <w:bCs w:val="0"/>
          <w:highlight w:val="none"/>
        </w:rPr>
        <w:t xml:space="preserve">218</w:t>
      </w:r>
      <w:r>
        <w:rPr>
          <w:b w:val="0"/>
          <w:bCs w:val="0"/>
          <w:highlight w:val="none"/>
        </w:rPr>
        <w:t xml:space="preserve"> соглашений с органами местного самоуправления второго уровня, а также </w:t>
      </w:r>
      <w:r>
        <w:rPr>
          <w:b w:val="0"/>
          <w:bCs w:val="0"/>
          <w:highlight w:val="none"/>
        </w:rPr>
        <w:t xml:space="preserve">41</w:t>
      </w:r>
      <w:r>
        <w:rPr>
          <w:b w:val="0"/>
          <w:bCs w:val="0"/>
          <w:highlight w:val="none"/>
        </w:rPr>
        <w:t xml:space="preserve"> соглашение с регионами. И вот статистика пилотного проекта: в </w:t>
      </w:r>
      <w:r>
        <w:rPr>
          <w:b w:val="0"/>
          <w:bCs w:val="0"/>
          <w:highlight w:val="none"/>
        </w:rPr>
        <w:t xml:space="preserve">28</w:t>
      </w:r>
      <w:r>
        <w:rPr>
          <w:b w:val="0"/>
          <w:bCs w:val="0"/>
          <w:highlight w:val="none"/>
        </w:rPr>
        <w:t xml:space="preserve"> субъектах РФ в результате этой работы на </w:t>
      </w:r>
      <w:r>
        <w:rPr>
          <w:b w:val="0"/>
          <w:bCs w:val="0"/>
          <w:highlight w:val="none"/>
        </w:rPr>
        <w:t xml:space="preserve">38%</w:t>
      </w:r>
      <w:r>
        <w:rPr>
          <w:b w:val="0"/>
          <w:bCs w:val="0"/>
          <w:highlight w:val="none"/>
        </w:rPr>
        <w:t xml:space="preserve"> сократилось количество объектов недвижимости без прав – это </w:t>
      </w:r>
      <w:r>
        <w:rPr>
          <w:b w:val="0"/>
          <w:bCs w:val="0"/>
          <w:highlight w:val="none"/>
        </w:rPr>
        <w:t xml:space="preserve">182</w:t>
      </w:r>
      <w:r>
        <w:rPr>
          <w:b w:val="0"/>
          <w:bCs w:val="0"/>
          <w:highlight w:val="none"/>
        </w:rPr>
        <w:t xml:space="preserve"> тыс. объектов, где по факту на самом деле был правообладатель. Мы его выявили и внесли сведения в реестр, и теперь это налогоплательщик. Кроме того, в каждом населенном пункте мы выявляем около </w:t>
      </w:r>
      <w:r>
        <w:rPr>
          <w:b w:val="0"/>
          <w:bCs w:val="0"/>
          <w:highlight w:val="none"/>
        </w:rPr>
        <w:t xml:space="preserve">3</w:t>
      </w:r>
      <w:r>
        <w:rPr>
          <w:b w:val="0"/>
          <w:bCs w:val="0"/>
          <w:highlight w:val="none"/>
        </w:rPr>
        <w:t xml:space="preserve"> – </w:t>
      </w:r>
      <w:r>
        <w:rPr>
          <w:b w:val="0"/>
          <w:bCs w:val="0"/>
          <w:highlight w:val="none"/>
        </w:rPr>
        <w:t xml:space="preserve">3,5%</w:t>
      </w:r>
      <w:r>
        <w:rPr>
          <w:b w:val="0"/>
          <w:bCs w:val="0"/>
          <w:highlight w:val="none"/>
        </w:rPr>
        <w:t xml:space="preserve"> территорий, которые можно вовлечь для дальнейшего предоставления льготным категориям граждан или инвесторам – это решает сам муниципалитет или регион. Мы предлагаем всем муниципалитетам рассмотреть возможность заключения такого соглашения. Этот инструмент</w:t>
      </w:r>
      <w:r>
        <w:rPr>
          <w:b w:val="0"/>
          <w:bCs w:val="0"/>
          <w:highlight w:val="none"/>
        </w:rPr>
        <w:t xml:space="preserve">, по сути, «государственно-муниципального» партнерства нужно развивать на благо нашей страны»</w:t>
      </w:r>
      <w:r>
        <w:rPr>
          <w:b w:val="0"/>
          <w:bCs w:val="0"/>
          <w:highlight w:val="none"/>
        </w:rPr>
        <w:t xml:space="preserve">, - подчеркнул он.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Заместитель руководителя Службы также обратил внимание участников на позицию Конституционного Суда РФ о том, что максимально эффективное использование земли содействует устойчивому экономическому росту страны и повышению благосостояния граждан. По словам </w:t>
      </w:r>
      <w:r>
        <w:rPr>
          <w:b w:val="0"/>
          <w:bCs w:val="0"/>
          <w:highlight w:val="none"/>
        </w:rPr>
        <w:t xml:space="preserve">Алексея Бутовецкого</w:t>
      </w:r>
      <w:r>
        <w:rPr>
          <w:b w:val="0"/>
          <w:bCs w:val="0"/>
          <w:highlight w:val="none"/>
        </w:rPr>
        <w:t xml:space="preserve">, «</w:t>
      </w:r>
      <w:r>
        <w:rPr>
          <w:b w:val="0"/>
          <w:bCs w:val="0"/>
          <w:highlight w:val="none"/>
        </w:rPr>
        <w:t xml:space="preserve">любая используемая земля - это новые объемы сельхозпродукции, промышленное производство, доходы в местный, региональный и федеральный бюджеты, новые объекты недвижимости</w:t>
      </w:r>
      <w:r>
        <w:rPr>
          <w:b w:val="0"/>
          <w:bCs w:val="0"/>
          <w:highlight w:val="none"/>
        </w:rPr>
        <w:t xml:space="preserve">».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рамках сессии участники рассмотрели вопросы, связанные с имущественным потенциалом территории и механизмами его реализации, а также экономикой территории, в том числе обсудили подходы к развитию малого и среднего бизнеса и инвестиционные профили муниципа</w:t>
      </w:r>
      <w:r>
        <w:rPr>
          <w:b w:val="0"/>
          <w:bCs w:val="0"/>
          <w:highlight w:val="none"/>
        </w:rPr>
        <w:t xml:space="preserve">литетов.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Модератором мероприятия, прошедшего в формате муниципального диалога, выступил первый вице-президент Ассоциации «Опора России» </w:t>
      </w:r>
      <w:r>
        <w:rPr>
          <w:b w:val="0"/>
          <w:bCs w:val="0"/>
          <w:highlight w:val="none"/>
        </w:rPr>
        <w:t xml:space="preserve">Аркадий Гершман</w:t>
      </w:r>
      <w:r>
        <w:rPr>
          <w:b w:val="0"/>
          <w:bCs w:val="0"/>
          <w:highlight w:val="none"/>
        </w:rPr>
        <w:t xml:space="preserve">, к участию также были приглашены представители Минэкономразвития РФ, Росимущества, Федеральной службы по труду и занятости, Агентства стратегических инициатив по продвижению новых проектов, главы муниципальных образований и другие спикеры.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Отметим, ежегодный Всероссийский муниципальный форум «Малая Родина - сила России» является важной площадкой для экспертного обсуждения актуальных вопросов, связанных с развитием малых территорий, местного самоуправления и социальной активности. В мероприят</w:t>
      </w:r>
      <w:r>
        <w:rPr>
          <w:b w:val="0"/>
          <w:bCs w:val="0"/>
          <w:highlight w:val="none"/>
        </w:rPr>
        <w:t xml:space="preserve">иях форума принимают участие члены Правительства РФ, сенаторы, депутаты Государственной Думы, эксперты, более 7 тыс. глав муниципальных образований России, 300 городов-побратимов зарубежных стран.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  <w:t xml:space="preserve">12. </w:t>
      </w:r>
      <w:r>
        <w:rPr>
          <w:b/>
          <w:bCs/>
          <w:highlight w:val="none"/>
        </w:rPr>
        <w:t xml:space="preserve">Росреестр принял участие в конференции по случаю 160-летия нотариата.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Статс-секретарь - заместитель руководителя Росреестра </w:t>
      </w:r>
      <w:r>
        <w:rPr>
          <w:b w:val="0"/>
          <w:bCs w:val="0"/>
          <w:highlight w:val="none"/>
        </w:rPr>
        <w:t xml:space="preserve">Алексей Бутовецкий </w:t>
      </w:r>
      <w:r>
        <w:rPr>
          <w:b w:val="0"/>
          <w:bCs w:val="0"/>
          <w:highlight w:val="none"/>
        </w:rPr>
        <w:t xml:space="preserve">принял участие в научно-практической конференции Федеральной нотариальной палаты, посвященной </w:t>
      </w:r>
      <w:r>
        <w:rPr>
          <w:b w:val="0"/>
          <w:bCs w:val="0"/>
          <w:highlight w:val="none"/>
        </w:rPr>
        <w:t xml:space="preserve">160</w:t>
      </w:r>
      <w:r>
        <w:rPr>
          <w:b w:val="0"/>
          <w:bCs w:val="0"/>
          <w:highlight w:val="none"/>
        </w:rPr>
        <w:t xml:space="preserve">-летию утверждения Положения о нотариальной части. Эта дата считается началом отсчета деятельности нотариата в качестве самостоятельного правового института в России.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ходе торжественного открытия мероприятия были зачитаны приветствия Президента РФ </w:t>
      </w:r>
      <w:r>
        <w:rPr>
          <w:b w:val="0"/>
          <w:bCs w:val="0"/>
          <w:highlight w:val="none"/>
        </w:rPr>
        <w:t xml:space="preserve">Владимира Путина</w:t>
      </w:r>
      <w:r>
        <w:rPr>
          <w:b w:val="0"/>
          <w:bCs w:val="0"/>
          <w:highlight w:val="none"/>
        </w:rPr>
        <w:t xml:space="preserve"> и Председателя Правительства РФ </w:t>
      </w:r>
      <w:r>
        <w:rPr>
          <w:b w:val="0"/>
          <w:bCs w:val="0"/>
          <w:highlight w:val="none"/>
        </w:rPr>
        <w:t xml:space="preserve">Михаила Мишустина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Президент Федеральной нотариальной палаты </w:t>
      </w:r>
      <w:r>
        <w:rPr>
          <w:b w:val="0"/>
          <w:bCs w:val="0"/>
          <w:highlight w:val="none"/>
        </w:rPr>
        <w:t xml:space="preserve">Константин Корсик </w:t>
      </w:r>
      <w:r>
        <w:rPr>
          <w:b w:val="0"/>
          <w:bCs w:val="0"/>
          <w:highlight w:val="none"/>
        </w:rPr>
        <w:t xml:space="preserve">в ходе доклада отметил, что основные правила работы нотариата, установленные в XIX веке, актуальны и сегодня. Независимость и объективность, самофинансирование и судебный контроль со стороны государства - принципы, которые определяют способность нотариата </w:t>
      </w:r>
      <w:r>
        <w:rPr>
          <w:b w:val="0"/>
          <w:bCs w:val="0"/>
          <w:highlight w:val="none"/>
        </w:rPr>
        <w:t xml:space="preserve">эффективно регулировать правоотношения в различных сегментах гражданского оборота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</w:rPr>
        <w:t xml:space="preserve"> Особый акцент он сделал на развитии законодательства о нотариате.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«Еще в начале прихода новых технологических укладов нотариат инициировал адаптацию к запросам нового времени, стал разрабатывать новые правовые механизмы. Законодатель и Минюст поддержали наши экспертные инициативы, и сегодня мы можем видеть, насколько ком</w:t>
      </w:r>
      <w:r>
        <w:rPr>
          <w:b w:val="0"/>
          <w:bCs w:val="0"/>
          <w:highlight w:val="none"/>
        </w:rPr>
        <w:t xml:space="preserve">плексным и масштабным стало развитие законодательства о нотариате последних 12 лет, которое вывело нотариат на качественно новый уровень»,</w:t>
      </w:r>
      <w:r>
        <w:rPr>
          <w:b w:val="0"/>
          <w:bCs w:val="0"/>
          <w:highlight w:val="none"/>
        </w:rPr>
        <w:t xml:space="preserve"> - сказал </w:t>
      </w:r>
      <w:r>
        <w:rPr>
          <w:b w:val="0"/>
          <w:bCs w:val="0"/>
          <w:highlight w:val="none"/>
        </w:rPr>
        <w:t xml:space="preserve">Константин Корсик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Алексей Бутовецкий </w:t>
      </w:r>
      <w:r>
        <w:rPr>
          <w:b w:val="0"/>
          <w:bCs w:val="0"/>
          <w:highlight w:val="none"/>
        </w:rPr>
        <w:t xml:space="preserve">зачитал поздравительный адрес от руководителя Росреестра </w:t>
      </w:r>
      <w:r>
        <w:rPr>
          <w:b w:val="0"/>
          <w:bCs w:val="0"/>
          <w:highlight w:val="none"/>
        </w:rPr>
        <w:t xml:space="preserve">Олега Скуфинского</w:t>
      </w:r>
      <w:r>
        <w:rPr>
          <w:b w:val="0"/>
          <w:bCs w:val="0"/>
          <w:highlight w:val="none"/>
        </w:rPr>
        <w:t xml:space="preserve">, в котором глава Службы высоко оценил выстроенное взаимодействие с Федеральной нотариальной палатой и поздравил специалистов этой сферы с наступающим профессиональным праздником – Днём нотариата.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своем выступлении </w:t>
      </w:r>
      <w:r>
        <w:rPr>
          <w:b w:val="0"/>
          <w:bCs w:val="0"/>
          <w:highlight w:val="none"/>
        </w:rPr>
        <w:t xml:space="preserve">заместитель руководителя Росреестра </w:t>
      </w:r>
      <w:r>
        <w:rPr>
          <w:b w:val="0"/>
          <w:bCs w:val="0"/>
          <w:highlight w:val="none"/>
        </w:rPr>
        <w:t xml:space="preserve">подчеркнул, что между Росреестром и нотариатом организована эффективная работа, направленная на оперативное и качественное предоставление населению услуг в сфере земли и недвижимости.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«Хочу отметить, что у Росреестра сложился самый высокий уровень взаимодействия с нотариатом. Наша Служба в режиме онлайн предоставляет нотариату сведения в любом формате, удобном для специалистов этой сферы.</w:t>
      </w:r>
      <w:r>
        <w:rPr>
          <w:b w:val="0"/>
          <w:bCs w:val="0"/>
          <w:highlight w:val="none"/>
        </w:rPr>
        <w:t xml:space="preserve"> </w:t>
      </w:r>
      <w:r>
        <w:rPr>
          <w:b w:val="0"/>
          <w:bCs w:val="0"/>
          <w:highlight w:val="none"/>
        </w:rPr>
        <w:t xml:space="preserve">На сегодняшний день общероссийский показатель срока регистрации по нотариальной сделке составляет </w:t>
      </w:r>
      <w:r>
        <w:rPr>
          <w:b w:val="0"/>
          <w:bCs w:val="0"/>
          <w:highlight w:val="none"/>
        </w:rPr>
        <w:t xml:space="preserve">4</w:t>
      </w:r>
      <w:r>
        <w:rPr>
          <w:b w:val="0"/>
          <w:bCs w:val="0"/>
          <w:highlight w:val="none"/>
        </w:rPr>
        <w:t xml:space="preserve"> часа. Этим не может похвастаться ни одна другая сфера, когда человек получает гарантированный результат за такой маленький срок»</w:t>
      </w:r>
      <w:r>
        <w:rPr>
          <w:b w:val="0"/>
          <w:bCs w:val="0"/>
          <w:highlight w:val="none"/>
        </w:rPr>
        <w:t xml:space="preserve">, - сказал </w:t>
      </w:r>
      <w:r>
        <w:rPr>
          <w:b w:val="0"/>
          <w:bCs w:val="0"/>
          <w:highlight w:val="none"/>
        </w:rPr>
        <w:t xml:space="preserve">Алексей Бутовецкий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научно-практической конференции приняли участие председатель Комитета Госдумы по государственному строительству и законодательству </w:t>
      </w:r>
      <w:r>
        <w:rPr>
          <w:b w:val="0"/>
          <w:bCs w:val="0"/>
          <w:highlight w:val="none"/>
        </w:rPr>
        <w:t xml:space="preserve">Павел Крашенинников</w:t>
      </w:r>
      <w:r>
        <w:rPr>
          <w:b w:val="0"/>
          <w:bCs w:val="0"/>
          <w:highlight w:val="none"/>
        </w:rPr>
        <w:t xml:space="preserve">, член Комитета Совета Федерации по конституционному законодательству и государственному строительству </w:t>
      </w:r>
      <w:r>
        <w:rPr>
          <w:b w:val="0"/>
          <w:bCs w:val="0"/>
          <w:highlight w:val="none"/>
        </w:rPr>
        <w:t xml:space="preserve">Николай Федоров</w:t>
      </w:r>
      <w:r>
        <w:rPr>
          <w:b w:val="0"/>
          <w:bCs w:val="0"/>
          <w:highlight w:val="none"/>
        </w:rPr>
        <w:t xml:space="preserve">, заместитель Министра финансов РФ </w:t>
      </w:r>
      <w:r>
        <w:rPr>
          <w:b w:val="0"/>
          <w:bCs w:val="0"/>
          <w:highlight w:val="none"/>
        </w:rPr>
        <w:t xml:space="preserve">Алексей Моисеев</w:t>
      </w:r>
      <w:r>
        <w:rPr>
          <w:b w:val="0"/>
          <w:bCs w:val="0"/>
          <w:highlight w:val="none"/>
        </w:rPr>
        <w:t xml:space="preserve">, заместитель руководителя Федеральной налоговой службы </w:t>
      </w:r>
      <w:r>
        <w:rPr>
          <w:b w:val="0"/>
          <w:bCs w:val="0"/>
          <w:highlight w:val="none"/>
        </w:rPr>
        <w:t xml:space="preserve">Виталий Колесников</w:t>
      </w:r>
      <w:r>
        <w:rPr>
          <w:b w:val="0"/>
          <w:bCs w:val="0"/>
          <w:highlight w:val="none"/>
        </w:rPr>
        <w:t xml:space="preserve">, директор Института законодательства и сравнительного правоведения при Правительстве РФ </w:t>
      </w:r>
      <w:r>
        <w:rPr>
          <w:b w:val="0"/>
          <w:bCs w:val="0"/>
          <w:highlight w:val="none"/>
        </w:rPr>
        <w:t xml:space="preserve">Талия Хабриева</w:t>
      </w:r>
      <w:r>
        <w:rPr>
          <w:b w:val="0"/>
          <w:bCs w:val="0"/>
          <w:highlight w:val="none"/>
        </w:rPr>
        <w:t xml:space="preserve"> и другие спикеры. К участию в мероприятии также были приглашены представители общественных организаций, ведущих российских вузов, нотариальных палат зарубежных стран и нотариата субъектов РФ.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</w:r>
      <w:r>
        <w:rPr>
          <w:b/>
          <w:bCs/>
          <w:highlight w:val="none"/>
        </w:rPr>
        <w:t xml:space="preserve">13. </w:t>
      </w:r>
      <w:r>
        <w:rPr>
          <w:b/>
          <w:bCs/>
          <w:highlight w:val="none"/>
        </w:rPr>
        <w:t xml:space="preserve">Госдума приняла в III чтении законопроект Росреестра по вовлечению в оборот федеральных земель.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Государственная Дума приняла во втором и третьем чтениях разработанный Росреестром законопроект, направленный на эффективное вовлечение федеральных земель в гражданский оборот и создание условий для их использования.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«Этим законопроектом усовершенствован порядок вовлечения федеральных земель в гражданский оборот. В том числе уточняются положения Земельного кодекса РФ по их безвозмездной передаче в собственность субъекта РФ или в муниципальную собственность. В частности</w:t>
      </w:r>
      <w:r>
        <w:rPr>
          <w:b w:val="0"/>
          <w:bCs w:val="0"/>
          <w:highlight w:val="none"/>
        </w:rPr>
        <w:t xml:space="preserve">, законопроектом предусмотрено, что федеральные участки, ранее предоставленные в пользование третьим лицам, не могут быть переданы в собственность региона или муниципалитета. Кроме того, правительственная комиссия по развитию жилищного строительства наделя</w:t>
      </w:r>
      <w:r>
        <w:rPr>
          <w:b w:val="0"/>
          <w:bCs w:val="0"/>
          <w:highlight w:val="none"/>
        </w:rPr>
        <w:t xml:space="preserve">ется полномочиями по принятию решений о передаче таких участков на иной уровень публичной власти в отдельных случаях. Случаи и порядок принятия таких решений будет определять Правительство РФ. Комиссия будет оценивать эффективность использования федеральны</w:t>
      </w:r>
      <w:r>
        <w:rPr>
          <w:b w:val="0"/>
          <w:bCs w:val="0"/>
          <w:highlight w:val="none"/>
        </w:rPr>
        <w:t xml:space="preserve">х участков и возможные варианты их вовлечения в оборот, в том числе для жилищного строительства»,</w:t>
      </w:r>
      <w:r>
        <w:rPr>
          <w:b w:val="0"/>
          <w:bCs w:val="0"/>
          <w:highlight w:val="none"/>
        </w:rPr>
        <w:t xml:space="preserve"> - отметил статс-секретарь – заместитель руководителя Росреестра </w:t>
      </w:r>
      <w:r>
        <w:rPr>
          <w:b w:val="0"/>
          <w:bCs w:val="0"/>
          <w:highlight w:val="none"/>
        </w:rPr>
        <w:t xml:space="preserve">Алексей Бутовецкий</w:t>
      </w:r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Он пояснил, что законопроектом также решается проблема вовлечения в оборот публичных земельных участков, частично или полностью расположенных в береговой полосе водных объектов. Сейчас по Земельному кодексу РФ такие участки ограничены в обороте и не могут </w:t>
      </w:r>
      <w:r>
        <w:rPr>
          <w:b w:val="0"/>
          <w:bCs w:val="0"/>
          <w:highlight w:val="none"/>
        </w:rPr>
        <w:t xml:space="preserve">быть предметом аукциона. Поэтому такие участки остаются невостребованными.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Эта проблема особенно актуальна для сельскохозяйственных земель, представляющих собой крупные земельные массивы, в границах которых находятся водные объекты, например, ручьи. Из-за ограничений такие объекты выбывают из оборота и не могут быть использованы </w:t>
      </w:r>
      <w:r>
        <w:rPr>
          <w:b w:val="0"/>
          <w:bCs w:val="0"/>
          <w:highlight w:val="none"/>
        </w:rPr>
        <w:t xml:space="preserve">для ведения сельского хозяйства. Законопроектом предлагается исключить запрет на проведение аукционов в отношении публичных земельных участков, расположенных в границах береговой полосы.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При этом арендатор при использовании участка в береговой полосе обязан соблюдать установленный для нее особый режим охраны водного объекта. В частности, арендатор будет обязан обеспечивать беспрепятственный доступ населения к береговой полосе, а также собл</w:t>
      </w:r>
      <w:r>
        <w:rPr>
          <w:b w:val="0"/>
          <w:bCs w:val="0"/>
          <w:highlight w:val="none"/>
        </w:rPr>
        <w:t xml:space="preserve">юдать все запреты и ограничения по хозяйственному использованию земельного участка. В собственность приобретать такие участки не допускается.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Эти изменения создадут условия для вовлечения в оборот неиспользуемых в результате таких ограничений земельных участков.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</w:r>
      <w:r>
        <w:rPr>
          <w:b/>
          <w:bCs/>
          <w:highlight w:val="none"/>
        </w:rPr>
        <w:t xml:space="preserve">14. </w:t>
      </w:r>
      <w:r>
        <w:rPr>
          <w:b/>
          <w:bCs/>
          <w:highlight w:val="none"/>
        </w:rPr>
        <w:t xml:space="preserve">Росреестр опроверг информацию о массовых отказах в регистрации договоров дарения из-за новых требований.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СМИ начинает распространяться информация о том, что якобы из-за новых требований Росреестра собственники массово получают отказы по регистрации договоров дарения.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Росреестр официально заявляет, что данные сведения не соответствуют действительности.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Ведомство отмечает, что норма об обязательном нотариальном заверении договоров дарения недвижимого имущества, заключаемых между гражданами, является прямым указанием Федерального закона № 459-ФЗ, а не требованиями Росреестра.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Соответствующий Закон «О внесении изменения в статью 574 части второй Гражданского кодекса Российской Федерации» был принят 13.12.2024 и вступил в силу 13.01.2025. То есть данные правила действуют уже 1 год и 3 месяца.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Закон направлен на повышение правовой защищенности граждан и снижение возможных рисков совершения мошеннических действий.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Никаких массовых отказов в регистрации договоров дарения, заключаемых между гражданами, Росреестр не наблюдает. Ранее со стороны ведомства и ФНП были даны разъяснения на данную тему.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Напоминаем, чтобы оформить дарственную на недвижимость, собственник сначала должен обратиться для составления или заверения договора дарения к нотариусу. Тот проверяет документы и удостоверяет сделку, после чего направляет заявление и документы в электронн</w:t>
      </w:r>
      <w:r>
        <w:rPr>
          <w:b w:val="0"/>
          <w:bCs w:val="0"/>
          <w:highlight w:val="none"/>
        </w:rPr>
        <w:t xml:space="preserve">ом виде в Росреестр для регистрации перехода права собственности.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Ведомство и нотариат взаимодействуют в электронном формате, что позволяет гражданам быстро и удобно получить соответствующую услугу.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ind w:left="0" w:right="0" w:firstLine="709"/>
        <w:spacing w:before="0" w:after="0" w:line="240" w:lineRule="auto"/>
        <w:rPr>
          <w:b/>
          <w:bCs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  <w:t xml:space="preserve">15. </w:t>
      </w:r>
      <w:r>
        <w:rPr>
          <w:b/>
          <w:bCs/>
          <w:color w:val="000000" w:themeColor="text1"/>
          <w14:ligatures w14:val="none"/>
        </w:rPr>
        <w:t xml:space="preserve">Арбитражные управляющие и Росреестр: вместе для решения задач.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В Управлении Росреестра по Новосибирской области 26 марта 2026 года состоялось совещание с арбитражными управляющими по вопросам регистрации недвижимости.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В рамках мероприятия освещены актуальные темы, волнующие профессионалов в сфере банкротства: возможн</w:t>
      </w:r>
      <w:r>
        <w:rPr>
          <w:b w:val="0"/>
          <w:bCs w:val="0"/>
          <w:color w:val="000000" w:themeColor="text1"/>
          <w14:ligatures w14:val="none"/>
        </w:rPr>
        <w:t xml:space="preserve">ость зарегистрировать реализованную на торгах недвижимость в электронном виде, порядок снятия ограничений и обременений с имущества, особенности реализации и регистрации недвижимости, находящейся в общей собственности банкрота и членов его семьи.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Совместн</w:t>
      </w:r>
      <w:r>
        <w:rPr>
          <w:b w:val="0"/>
          <w:bCs w:val="0"/>
          <w:color w:val="000000" w:themeColor="text1"/>
          <w14:ligatures w14:val="none"/>
        </w:rPr>
        <w:t xml:space="preserve">ое рассмотрение вопросов, возникающих в ходе применения законодательства о недвижимости и банкротстве – важный инструмент взаимодействия профессиональных участников рынка недвижимости и регистрирующего органа при формировании единой практики.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Интересы дет</w:t>
      </w:r>
      <w:r>
        <w:rPr>
          <w:b w:val="0"/>
          <w:bCs w:val="0"/>
          <w:color w:val="000000" w:themeColor="text1"/>
          <w14:ligatures w14:val="none"/>
        </w:rPr>
        <w:t xml:space="preserve">ей должника необходимо защищать в приоритетном порядке, так как процедура банкротства может затронуть и их. Решение таких вопросов возможно при живом взаимодействии и активном участии Росреестра и арбитражных управляющих.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Специалисты регионального Росреес</w:t>
      </w:r>
      <w:r>
        <w:rPr>
          <w:b w:val="0"/>
          <w:bCs w:val="0"/>
          <w:color w:val="000000" w:themeColor="text1"/>
          <w14:ligatures w14:val="none"/>
        </w:rPr>
        <w:t xml:space="preserve">тра оказывают помощь при подаче документов в электронном виде, в том числе сопровождают электронные пакеты в индивидуальном порядке, всеми доступными способами консультируют по вопросам регистрации недвижимости и всегда готовы к сотрудничеству для решения </w:t>
      </w:r>
      <w:r>
        <w:rPr>
          <w:b w:val="0"/>
          <w:bCs w:val="0"/>
          <w:color w:val="000000" w:themeColor="text1"/>
          <w14:ligatures w14:val="none"/>
        </w:rPr>
        <w:t xml:space="preserve">задач, встающих на пути регистрационного процесса.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/>
          <w:bCs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  <w:t xml:space="preserve">16. </w:t>
      </w:r>
      <w:r>
        <w:rPr>
          <w:b/>
          <w:bCs/>
          <w:color w:val="000000" w:themeColor="text1"/>
          <w14:ligatures w14:val="none"/>
        </w:rPr>
        <w:t xml:space="preserve">День бесплатной юридической помощи в городе Черепаново прошел при участии новосибирского Росреестра.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Начальник межмуниципального Черепановского отдела новосибирского Росреестра Андрей Ламерт принял участие в проведении Дня бесплатной юридической помощи в г. Черепаново. Мероприятие организовано Новосибирским региональным отделением ООО «Ассоциация юристов </w:t>
      </w:r>
      <w:r>
        <w:rPr>
          <w:b w:val="0"/>
          <w:bCs w:val="0"/>
          <w:color w:val="000000" w:themeColor="text1"/>
          <w14:ligatures w14:val="none"/>
        </w:rPr>
        <w:t xml:space="preserve">России» при поддержке партии «Единая Россия».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Жители Черепановского района получили возможность в рамках «одного окна» решить вопросы в сфере оформления земли и недвижимости со специалистами Росреестра, прокуратуры и нотариусом.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«Проведение бесплатных юридических консультаций с участием квалифицированных юристов и специалистов нескольких ведомственных органов имеет большое значение для жителей региона. Мероприятия такого формата дают возможность рассмотреть вопросы граждан с разны</w:t>
      </w:r>
      <w:r>
        <w:rPr>
          <w:b w:val="0"/>
          <w:bCs w:val="0"/>
          <w:color w:val="000000" w:themeColor="text1"/>
          <w14:ligatures w14:val="none"/>
        </w:rPr>
        <w:t xml:space="preserve">х сторон. Кроме того, в условиях частых изменений законодательства в сфере недвижимости встречи с гражданами позволяют разъяснить новеллы законодательства, что способствует повышению правовой грамотности населения в целом»</w:t>
      </w:r>
      <w:r>
        <w:rPr>
          <w:b w:val="0"/>
          <w:bCs w:val="0"/>
          <w:color w:val="000000" w:themeColor="text1"/>
          <w14:ligatures w14:val="none"/>
        </w:rPr>
        <w:t xml:space="preserve">, – отметила руководитель Управления Росреестра по Новосибирской области </w:t>
      </w:r>
      <w:r>
        <w:rPr>
          <w:b w:val="0"/>
          <w:bCs w:val="0"/>
          <w:color w:val="000000" w:themeColor="text1"/>
          <w14:ligatures w14:val="none"/>
        </w:rPr>
        <w:t xml:space="preserve">Светлана Рягузова</w:t>
      </w:r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Напомним, что Управление Росреестра по Новосибирской области на постоянной основе проводит мероприятия по оказанию бесплатной юридической помощи населению.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/>
          <w:bCs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  <w:t xml:space="preserve">17.</w:t>
      </w:r>
      <w:r>
        <w:rPr>
          <w:b/>
          <w:bCs/>
          <w:color w:val="000000" w:themeColor="text1"/>
          <w14:ligatures w14:val="none"/>
        </w:rPr>
        <w:t xml:space="preserve"> </w:t>
      </w:r>
      <w:r>
        <w:rPr>
          <w:b/>
          <w:bCs/>
          <w:color w:val="000000" w:themeColor="text1"/>
          <w14:ligatures w14:val="none"/>
        </w:rPr>
        <w:t xml:space="preserve">Более 5 тысяч сделок с новостройками зарегистрировано в Новосибирской области с начала 2026 года.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С начала текущего года Управлением Росреестра по Новосибирской области зарегистрировано 5 310 договоров участия в долевом строительстве, что на 16,5% больше аналогичного показателя 2025 года. Пик активности по регистрации новостроек в регионе зафиксирован </w:t>
      </w:r>
      <w:r>
        <w:rPr>
          <w:b w:val="0"/>
          <w:bCs w:val="0"/>
          <w:color w:val="000000" w:themeColor="text1"/>
          <w14:ligatures w14:val="none"/>
        </w:rPr>
        <w:t xml:space="preserve">в феврале 2026 года – 1924.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Более 70% договоров оформлено в отношении строящегося жилья: 3 830 за первый квартал 2026 года. По сравнению с аналогичным периодом 2025 года показатель вырос на 30%. Полученные статистические данные свидетельствуют об устойчив</w:t>
      </w:r>
      <w:r>
        <w:rPr>
          <w:b w:val="0"/>
          <w:bCs w:val="0"/>
          <w:color w:val="000000" w:themeColor="text1"/>
          <w14:ligatures w14:val="none"/>
        </w:rPr>
        <w:t xml:space="preserve">ом интересе жителей региона к приобретению жилья на первичном рынке недвижимости.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Новосибирская область продолжает лидировать по число регистраций договоров участия в долевом строительстве среди регионов Сибири: 40% всех сделок с новостройками в Сибирском</w:t>
      </w:r>
      <w:r>
        <w:rPr>
          <w:b w:val="0"/>
          <w:bCs w:val="0"/>
          <w:color w:val="000000" w:themeColor="text1"/>
          <w14:ligatures w14:val="none"/>
        </w:rPr>
        <w:t xml:space="preserve"> федеральном округе приходится на Новосибирскую область.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Отдельно стоит отметить рост популярности электронных услуг для оформления объектов первичного рынка недвижимости: с начала года все заявления на государственную регистрацию договоров участия в доле</w:t>
      </w:r>
      <w:r>
        <w:rPr>
          <w:b w:val="0"/>
          <w:bCs w:val="0"/>
          <w:color w:val="000000" w:themeColor="text1"/>
          <w14:ligatures w14:val="none"/>
        </w:rPr>
        <w:t xml:space="preserve">вом строительстве новосибирцы подали в онлайн-формате. Напомним, что такой вид сделки упрощает и ускоряет процесс регистрации, делая его удобным как для граждан, так и для застройщиков. 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/>
          <w:bCs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  <w:t xml:space="preserve">18. </w:t>
      </w:r>
      <w:r>
        <w:rPr>
          <w:b/>
          <w:bCs/>
          <w:color w:val="000000" w:themeColor="text1"/>
          <w14:ligatures w14:val="none"/>
        </w:rPr>
        <w:t xml:space="preserve">На портале Госуслуг пришло сообщение о проведении комплексных кадастровых работ: инструкция для собственников.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С начала года жители региона – собственники более 50 тыс. объектов недвижимости – получили в личном кабинете на портале </w:t>
      </w:r>
      <w:hyperlink r:id="rId32" w:tooltip="https://www.gosuslugi.ru/" w:history="1">
        <w:r>
          <w:rPr>
            <w:b w:val="0"/>
            <w:bCs w:val="0"/>
            <w:color w:val="000000" w:themeColor="text1"/>
            <w14:ligatures w14:val="none"/>
          </w:rPr>
          <w:t xml:space="preserve">Госуслуг</w:t>
        </w:r>
      </w:hyperlink>
      <w:r>
        <w:rPr>
          <w:b w:val="0"/>
          <w:bCs w:val="0"/>
          <w:color w:val="000000" w:themeColor="text1"/>
          <w14:ligatures w14:val="none"/>
        </w:rPr>
        <w:t xml:space="preserve"> уведомления о начале выполнения комплексных кадастровых работ (ККР).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В рамках ККР специалисты уточняют границы всех земельных участков и расположенных на них объектов капитального строительства на территории кадастрового квартала. У правообладателей нет </w:t>
      </w:r>
      <w:r>
        <w:rPr>
          <w:b w:val="0"/>
          <w:bCs w:val="0"/>
          <w:color w:val="000000" w:themeColor="text1"/>
          <w14:ligatures w14:val="none"/>
        </w:rPr>
        <w:t xml:space="preserve">необходимости самостоятельно обращаться за проведением кадастровых работ. В регионе работы проводит филиал публично-правовой компании «Роскадастр» по Новосибирской области за счет средств федерального бюджета.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Инструкция для собственников, получивших извещения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1. Извещение о начале проведения ККР является официальным документом и приходит только на портале Госуслуг. Необходимо удостовериться в подлинности полученного сообщения – оно не содержит ссылок на сторонние сайты, не запрашивает пароль и не требует внести</w:t>
      </w:r>
      <w:r>
        <w:rPr>
          <w:b w:val="0"/>
          <w:bCs w:val="0"/>
          <w:color w:val="000000" w:themeColor="text1"/>
          <w14:ligatures w14:val="none"/>
        </w:rPr>
        <w:t xml:space="preserve"> оплату. В уведомлении указаны контакты исполнителя кадастровых работ для связи при возникновении вопросов у правообладателей объектов недвижимости.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2. Уведомление не требует срочных действий, а информирует о том, что объект недвижимости попал в кадастро</w:t>
      </w:r>
      <w:r>
        <w:rPr>
          <w:b w:val="0"/>
          <w:bCs w:val="0"/>
          <w:color w:val="000000" w:themeColor="text1"/>
          <w14:ligatures w14:val="none"/>
        </w:rPr>
        <w:t xml:space="preserve">вый квартал, на территории которого будут проводиться ККР. Таким образом, у собственников появляется возможность бесплатно провести межевание, что особенно важно, так как сделки с участками без установленных границ невозможны, а также определить границы ка</w:t>
      </w:r>
      <w:r>
        <w:rPr>
          <w:b w:val="0"/>
          <w:bCs w:val="0"/>
          <w:color w:val="000000" w:themeColor="text1"/>
          <w14:ligatures w14:val="none"/>
        </w:rPr>
        <w:t xml:space="preserve">питального строения.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3. Согласно Федеральному </w:t>
      </w:r>
      <w:hyperlink r:id="rId33" w:tooltip="https://www.consultant.ru/document/cons_doc_LAW_70088/2c520d7f0e03ab44100057c999f18af7c9913579/" w:history="1">
        <w:r>
          <w:rPr>
            <w:b w:val="0"/>
            <w:bCs w:val="0"/>
            <w:color w:val="000000" w:themeColor="text1"/>
            <w14:ligatures w14:val="none"/>
          </w:rPr>
          <w:t xml:space="preserve">закону</w:t>
        </w:r>
      </w:hyperlink>
      <w:r>
        <w:rPr>
          <w:b w:val="0"/>
          <w:bCs w:val="0"/>
          <w:color w:val="000000" w:themeColor="text1"/>
          <w14:ligatures w14:val="none"/>
        </w:rPr>
        <w:t xml:space="preserve"> №221-ФЗ «О кадастровой деятельности», правообладатели не должны препятствовать выполнению ККР и обязаны обеспечить доступ к объектам недвижимости, например, к границам земельного участка. Рекомендуем собственникам проверять документы специалистов, выполня</w:t>
      </w:r>
      <w:r>
        <w:rPr>
          <w:b w:val="0"/>
          <w:bCs w:val="0"/>
          <w:color w:val="000000" w:themeColor="text1"/>
          <w14:ligatures w14:val="none"/>
        </w:rPr>
        <w:t xml:space="preserve">ющих работы, чтобы не стать жертвой мошеннических действий.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4. При завершении работ специалистами подготавливается проект карты-плана территории, который публикуется на сайтах администрации муниципального образования, Росреестра, Департамента имущества и </w:t>
      </w:r>
      <w:r>
        <w:rPr>
          <w:b w:val="0"/>
          <w:bCs w:val="0"/>
          <w:color w:val="000000" w:themeColor="text1"/>
          <w14:ligatures w14:val="none"/>
        </w:rPr>
        <w:t xml:space="preserve">земельных отношений Новосибирской области. Собственники могут ознакомиться с результатами в целях защиты своих имущественных прав.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5. Обязательный этап проведения ККР – работа согласительных комиссий при администрации. В заседаниях, которые проходят дважд</w:t>
      </w:r>
      <w:r>
        <w:rPr>
          <w:b w:val="0"/>
          <w:bCs w:val="0"/>
          <w:color w:val="000000" w:themeColor="text1"/>
          <w14:ligatures w14:val="none"/>
        </w:rPr>
        <w:t xml:space="preserve">ы, могут принимать участие правообладатели, если хотят получить разъяснения или высказать возражения в отношении результатов работ. После повторного заседания карта-план территории утверждается постановлением органа власти, сведения вносятся в Единый госуд</w:t>
      </w:r>
      <w:r>
        <w:rPr>
          <w:b w:val="0"/>
          <w:bCs w:val="0"/>
          <w:color w:val="000000" w:themeColor="text1"/>
          <w14:ligatures w14:val="none"/>
        </w:rPr>
        <w:t xml:space="preserve">арственный реестр недвижимости (ЕГРН). 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6. Проверить уточненные данные о своем объекте недвижимости собственники могут с помощью бесплатной онлайн-выписки на портале </w:t>
      </w:r>
      <w:hyperlink r:id="rId34" w:tooltip="https://www.gosuslugi.ru/online-egrn" w:history="1">
        <w:r>
          <w:rPr>
            <w:b w:val="0"/>
            <w:bCs w:val="0"/>
            <w:color w:val="000000" w:themeColor="text1"/>
            <w14:ligatures w14:val="none"/>
          </w:rPr>
          <w:t xml:space="preserve">Госуслуг</w:t>
        </w:r>
      </w:hyperlink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/>
          <w:bCs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  <w:t xml:space="preserve">19. </w:t>
      </w:r>
      <w:r>
        <w:rPr>
          <w:b/>
          <w:bCs/>
          <w:color w:val="000000" w:themeColor="text1"/>
          <w14:ligatures w14:val="none"/>
        </w:rPr>
        <w:t xml:space="preserve">Новосибирцы оформили свои права на недвижимость за один час.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С 23 марта по 3 апреля 2026 года новосибирским Росреестром совместно МФЦ проведен проект «Регистрация ранее возникших прав в МФЦ за час». В проекте приняли участие более 20 новосибирцев, они обратились за оформлением своих прав с документами, подтверждающи</w:t>
      </w:r>
      <w:r>
        <w:rPr>
          <w:b w:val="0"/>
          <w:bCs w:val="0"/>
          <w:color w:val="000000" w:themeColor="text1"/>
          <w14:ligatures w14:val="none"/>
        </w:rPr>
        <w:t xml:space="preserve">ми ранее возникшие права. Наибольшее количество обращений – это заявления на квартиры, которые были приватизированы до 31.01.1998.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Минимальное время, затраченное на рассмотрение государственным регистратором прав одного обращения, составило 11 минут. Сре</w:t>
      </w:r>
      <w:r>
        <w:rPr>
          <w:b w:val="0"/>
          <w:bCs w:val="0"/>
          <w:color w:val="000000" w:themeColor="text1"/>
          <w14:ligatures w14:val="none"/>
        </w:rPr>
        <w:t xml:space="preserve">днее время рассмотрения документов составило 35 минут.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Регистрация ранее возникшего права собственности необходима для полноправного распоряжения недвижимым имуществом (при купле-продаже, дарении), а также гарантирует государственную защиту от мошенническ</w:t>
      </w:r>
      <w:r>
        <w:rPr>
          <w:b w:val="0"/>
          <w:bCs w:val="0"/>
          <w:color w:val="000000" w:themeColor="text1"/>
          <w14:ligatures w14:val="none"/>
        </w:rPr>
        <w:t xml:space="preserve">их действий.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Законодательством предусмотрен и иной способ защиты прав собственника - подача заявления о невозможности государственной регистрации права без личного участия правообладателя, но такой защитой можно воспользоваться только после регистрации в </w:t>
      </w:r>
      <w:r>
        <w:rPr>
          <w:b w:val="0"/>
          <w:bCs w:val="0"/>
          <w:color w:val="000000" w:themeColor="text1"/>
          <w14:ligatures w14:val="none"/>
        </w:rPr>
        <w:t xml:space="preserve">ЕГРН.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Проект «Регистрация ранее возникших прав в МФЦ за час» реализуется новосибирским Росреестром и МФЦ ежеквартально. В следующий раз проект будет проведен в сентябре - октябре 2026 года, в том числе в рамках мероприятий, посвященных декаде по</w:t>
        <w:br/>
        <w:t xml:space="preserve">жилых люд</w:t>
      </w:r>
      <w:r>
        <w:rPr>
          <w:b w:val="0"/>
          <w:bCs w:val="0"/>
          <w:color w:val="000000" w:themeColor="text1"/>
          <w14:ligatures w14:val="none"/>
        </w:rPr>
        <w:t xml:space="preserve">ей.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Следите за нашими новостями в мессенджере </w:t>
      </w:r>
      <w:hyperlink r:id="rId35" w:tooltip="https://max.ru/id5406299278_gos" w:history="1">
        <w:r>
          <w:rPr>
            <w:b w:val="0"/>
            <w:bCs w:val="0"/>
            <w:color w:val="000000" w:themeColor="text1"/>
            <w14:ligatures w14:val="none"/>
          </w:rPr>
          <w:t xml:space="preserve">MAX</w:t>
        </w:r>
      </w:hyperlink>
      <w:r>
        <w:rPr>
          <w:b w:val="0"/>
          <w:bCs w:val="0"/>
          <w:color w:val="000000" w:themeColor="text1"/>
          <w14:ligatures w14:val="none"/>
        </w:rPr>
        <w:t xml:space="preserve"> и соцсетях Управления </w:t>
      </w:r>
      <w:hyperlink r:id="rId36" w:tooltip="https://vk.com/rosreestr_nsk" w:history="1">
        <w:r>
          <w:rPr>
            <w:b w:val="0"/>
            <w:bCs w:val="0"/>
            <w:color w:val="000000" w:themeColor="text1"/>
            <w14:ligatures w14:val="none"/>
          </w:rPr>
          <w:t xml:space="preserve">ВКонтакте</w:t>
        </w:r>
      </w:hyperlink>
      <w:r>
        <w:rPr>
          <w:b w:val="0"/>
          <w:bCs w:val="0"/>
          <w:color w:val="000000" w:themeColor="text1"/>
          <w14:ligatures w14:val="none"/>
        </w:rPr>
        <w:t xml:space="preserve">, </w:t>
      </w:r>
      <w:hyperlink r:id="rId37" w:tooltip="https://ok.ru/group/rosree" w:history="1">
        <w:r>
          <w:rPr>
            <w:b w:val="0"/>
            <w:bCs w:val="0"/>
            <w:color w:val="000000" w:themeColor="text1"/>
            <w14:ligatures w14:val="none"/>
          </w:rPr>
          <w:t xml:space="preserve">Одноклассники</w:t>
        </w:r>
      </w:hyperlink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/>
          <w:bCs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  <w:t xml:space="preserve">20. </w:t>
      </w:r>
      <w:r>
        <w:rPr>
          <w:b/>
          <w:bCs/>
          <w:color w:val="000000" w:themeColor="text1"/>
          <w14:ligatures w14:val="none"/>
        </w:rPr>
        <w:t xml:space="preserve">Актуальные вопросы регистрации недвижимости при банкротстве обсудили в Новосибирске.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Управление Росреестра по Новосибирской области и Новосибирское региональное отделение Ассоциации юристов России провели круглый стол по актуальным вопросам государственной регистрации прав на недвижимость при банкротстве физических лиц.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8 апреля 2026 года</w:t>
      </w:r>
      <w:r>
        <w:rPr>
          <w:b w:val="0"/>
          <w:bCs w:val="0"/>
          <w:color w:val="000000" w:themeColor="text1"/>
          <w14:ligatures w14:val="none"/>
        </w:rPr>
        <w:t xml:space="preserve"> на площадке Главного управления Министерства юстиции Российской Федерации по Новосибирской области состоялось совместное мероприятие, посвященное актуальным вопросам оформления недвижимости в рамках процедур банкротства. В работе приняли участие руководит</w:t>
      </w:r>
      <w:r>
        <w:rPr>
          <w:b w:val="0"/>
          <w:bCs w:val="0"/>
          <w:color w:val="000000" w:themeColor="text1"/>
          <w14:ligatures w14:val="none"/>
        </w:rPr>
        <w:t xml:space="preserve">ель новосибирского Росреестра </w:t>
      </w:r>
      <w:r>
        <w:rPr>
          <w:b w:val="0"/>
          <w:bCs w:val="0"/>
          <w:color w:val="000000" w:themeColor="text1"/>
          <w14:ligatures w14:val="none"/>
        </w:rPr>
        <w:t xml:space="preserve">Светлана Рягузова</w:t>
      </w:r>
      <w:r>
        <w:rPr>
          <w:b w:val="0"/>
          <w:bCs w:val="0"/>
          <w:color w:val="000000" w:themeColor="text1"/>
          <w14:ligatures w14:val="none"/>
        </w:rPr>
        <w:t xml:space="preserve"> и председатель Совета регионального отделения Ассоциации юристов </w:t>
      </w:r>
      <w:r>
        <w:rPr>
          <w:b w:val="0"/>
          <w:bCs w:val="0"/>
          <w:color w:val="000000" w:themeColor="text1"/>
          <w14:ligatures w14:val="none"/>
        </w:rPr>
        <w:t xml:space="preserve">Виктор Юдашкин</w:t>
      </w:r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Заместитель руководителя Управления Росреестра по Новосибирской области</w:t>
      </w:r>
      <w:r>
        <w:rPr>
          <w:b w:val="0"/>
          <w:bCs w:val="0"/>
          <w:color w:val="000000" w:themeColor="text1"/>
          <w14:ligatures w14:val="none"/>
        </w:rPr>
        <w:t xml:space="preserve"> Наталья Ивчатова</w:t>
      </w:r>
      <w:r>
        <w:rPr>
          <w:b w:val="0"/>
          <w:bCs w:val="0"/>
          <w:color w:val="000000" w:themeColor="text1"/>
          <w14:ligatures w14:val="none"/>
        </w:rPr>
        <w:t xml:space="preserve"> обозначила ключевые вопросы продажи недвижимости при банкротстве, порядок регистрации прав на объекты недвижимости, находящиеся в совместной собственности супругов, если один из них признан банкротом, особенности регистрации прав при долевой собственности</w:t>
      </w:r>
      <w:r>
        <w:rPr>
          <w:b w:val="0"/>
          <w:bCs w:val="0"/>
          <w:color w:val="000000" w:themeColor="text1"/>
          <w14:ligatures w14:val="none"/>
        </w:rPr>
        <w:t xml:space="preserve"> супругов и детей, реализации преимущественного права покупки при продаже имущества банкрота. Особое внимание было уделено вопросам, связанным с реализацией имущества, приобретённого с использованием материнского капитала, и защитой интересов детей.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Экспе</w:t>
      </w:r>
      <w:r>
        <w:rPr>
          <w:b w:val="0"/>
          <w:bCs w:val="0"/>
          <w:color w:val="000000" w:themeColor="text1"/>
          <w14:ligatures w14:val="none"/>
        </w:rPr>
        <w:t xml:space="preserve">рты, в число которых вошли представители Нотариальной палаты Новосибирской области, регионального министерства социального развития, органов опеки и попечительства мэрии города Новосибирска, Фонда социального страхования и ПАО Сбербанк, арбитражные управля</w:t>
      </w:r>
      <w:r>
        <w:rPr>
          <w:b w:val="0"/>
          <w:bCs w:val="0"/>
          <w:color w:val="000000" w:themeColor="text1"/>
          <w14:ligatures w14:val="none"/>
        </w:rPr>
        <w:t xml:space="preserve">ющие и помощник Уполномоченного по правам ребенка, рассмотрели вопросы, касающиеся обязательного участия супругов и детей в качестве сторон договора при реализации объектов через торги, а также требований к подаче соответствующих заявлений в Росреестр.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Уч</w:t>
      </w:r>
      <w:r>
        <w:rPr>
          <w:b w:val="0"/>
          <w:bCs w:val="0"/>
          <w:color w:val="000000" w:themeColor="text1"/>
          <w14:ligatures w14:val="none"/>
        </w:rPr>
        <w:t xml:space="preserve">астники подчеркнули важность комплексного подхода к решению проблем регистрации прав в процедурах банкротства. Обсуждение показало, что многие вопросы требуют не только законодательных уточнений, но и выработки единых подходов к их применению на практике.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Светлана Рягузова </w:t>
      </w:r>
      <w:r>
        <w:rPr>
          <w:b w:val="0"/>
          <w:bCs w:val="0"/>
          <w:color w:val="000000" w:themeColor="text1"/>
          <w14:ligatures w14:val="none"/>
        </w:rPr>
        <w:t xml:space="preserve">подчеркнула высокую социально-правовую значимость темы и предложила участникам круглого стола обобщить озвученные проблемные вопросы осуществления государственной регистрации прав в рамках процедуры банкротства для подготовки предложений по законодательным</w:t>
      </w:r>
      <w:r>
        <w:rPr>
          <w:b w:val="0"/>
          <w:bCs w:val="0"/>
          <w:color w:val="000000" w:themeColor="text1"/>
          <w14:ligatures w14:val="none"/>
        </w:rPr>
        <w:t xml:space="preserve"> инициативам и разъяснению правоприменительной практики для их направления в Росреестр.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«Встреча стала площадкой для конструктивного диалога между государственными органами и профессиональным сообществом. Участие представителей всех заинтересованных ведомств позволит выработать комплексный подход к решению актуальных проблем регистрации прав </w:t>
      </w:r>
      <w:r>
        <w:rPr>
          <w:b w:val="0"/>
          <w:bCs w:val="0"/>
          <w:color w:val="000000" w:themeColor="text1"/>
          <w14:ligatures w14:val="none"/>
        </w:rPr>
        <w:t xml:space="preserve">в процедурах банкротства»</w:t>
      </w:r>
      <w:r>
        <w:rPr>
          <w:b w:val="0"/>
          <w:bCs w:val="0"/>
          <w:color w:val="000000" w:themeColor="text1"/>
          <w14:ligatures w14:val="none"/>
        </w:rPr>
        <w:t xml:space="preserve">, – отметила руководитель новосибирского Росреестра </w:t>
      </w:r>
      <w:r>
        <w:rPr>
          <w:b w:val="0"/>
          <w:bCs w:val="0"/>
          <w:color w:val="000000" w:themeColor="text1"/>
          <w14:ligatures w14:val="none"/>
        </w:rPr>
        <w:t xml:space="preserve">Светлана Рягузова</w:t>
      </w:r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Руководитель аппарата Новосибирского регионального отделения </w:t>
      </w:r>
      <w:r>
        <w:rPr>
          <w:b w:val="0"/>
          <w:bCs w:val="0"/>
          <w:color w:val="000000" w:themeColor="text1"/>
          <w14:ligatures w14:val="none"/>
        </w:rPr>
        <w:t xml:space="preserve">Ирина Морокина</w:t>
      </w:r>
      <w:r>
        <w:rPr>
          <w:b w:val="0"/>
          <w:bCs w:val="0"/>
          <w:color w:val="000000" w:themeColor="text1"/>
          <w14:ligatures w14:val="none"/>
        </w:rPr>
        <w:t xml:space="preserve">, подчеркнула практическую значимость данного мероприятия и выразила готовность Ассоциации к конструктивному взаимодействию с государственными органами по социально значимым правовым вопросам с целью комплексного решения задач, стоящих перед юридическим со</w:t>
      </w:r>
      <w:r>
        <w:rPr>
          <w:b w:val="0"/>
          <w:bCs w:val="0"/>
          <w:color w:val="000000" w:themeColor="text1"/>
          <w14:ligatures w14:val="none"/>
        </w:rPr>
        <w:t xml:space="preserve">обществом.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/>
          <w:bCs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color w:val="000000" w:themeColor="text1"/>
          <w14:ligatures w14:val="none"/>
        </w:rPr>
        <w:t xml:space="preserve">21. </w:t>
      </w:r>
      <w:r>
        <w:rPr>
          <w:b/>
          <w:bCs/>
          <w:color w:val="000000" w:themeColor="text1"/>
          <w14:ligatures w14:val="none"/>
        </w:rPr>
        <w:t xml:space="preserve">Более 2000 сообщений поступило в новосибирский Росреестр через Платформу обратной связи за 1 квартал 2026 года.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За 1 квартал 2026 года жители региона направили в Управление Росреестра по Новосибирской области через </w:t>
      </w:r>
      <w:hyperlink r:id="rId38" w:tooltip="https://pos.gosuslugi.ru/landing/" w:history="1">
        <w:r>
          <w:rPr>
            <w:b w:val="0"/>
            <w:bCs w:val="0"/>
            <w:color w:val="000000" w:themeColor="text1"/>
            <w14:ligatures w14:val="none"/>
          </w:rPr>
          <w:t xml:space="preserve">Платформу обратной связи</w:t>
        </w:r>
      </w:hyperlink>
      <w:r>
        <w:rPr>
          <w:b w:val="0"/>
          <w:bCs w:val="0"/>
          <w:color w:val="000000" w:themeColor="text1"/>
          <w14:ligatures w14:val="none"/>
        </w:rPr>
        <w:t xml:space="preserve"> 2123 сообщения.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Почти 80% вопросов касались отсутствия или некорректной информации об объектах недвижимости в личном кабинете на портале </w:t>
      </w:r>
      <w:hyperlink r:id="rId39" w:tooltip="https://www.gosuslugi.ru/" w:history="1">
        <w:r>
          <w:rPr>
            <w:b w:val="0"/>
            <w:bCs w:val="0"/>
            <w:color w:val="000000" w:themeColor="text1"/>
            <w14:ligatures w14:val="none"/>
          </w:rPr>
          <w:t xml:space="preserve">Госуслуг,</w:t>
        </w:r>
      </w:hyperlink>
      <w:r>
        <w:rPr>
          <w:b w:val="0"/>
          <w:bCs w:val="0"/>
          <w:color w:val="000000" w:themeColor="text1"/>
          <w14:ligatures w14:val="none"/>
        </w:rPr>
        <w:t xml:space="preserve"> уточнения сведений о паспортных данных и СНИЛС правообладателей недвижимости в Едином государственном реестре недвижимости.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Обращения рассмотрены специалистами новосибирского Росреестра в короткие сроки: на 75% вопросов даны ответы в течение 5 дней, еще </w:t>
      </w:r>
      <w:r>
        <w:rPr>
          <w:b w:val="0"/>
          <w:bCs w:val="0"/>
          <w:color w:val="000000" w:themeColor="text1"/>
          <w14:ligatures w14:val="none"/>
        </w:rPr>
        <w:t xml:space="preserve">15% рассмотрены в срок от 6 до 15 дней.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В настоящее время ПОС является основным электронным сервисом и единой площадкой для подачи обращений в государственные органы в электронной форме, участия в онлайн-опросах и общественных обсуждениях.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ind w:left="0" w:right="0" w:firstLine="709"/>
        <w:spacing w:before="0" w:after="0" w:line="240" w:lineRule="auto"/>
        <w:rPr>
          <w:b w:val="0"/>
          <w:bCs w:val="0"/>
          <w:color w:val="000000" w:themeColor="text1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color w:val="000000" w:themeColor="text1"/>
          <w14:ligatures w14:val="none"/>
        </w:rPr>
        <w:t xml:space="preserve">Платформа обра</w:t>
      </w:r>
      <w:r>
        <w:rPr>
          <w:b w:val="0"/>
          <w:bCs w:val="0"/>
          <w:color w:val="000000" w:themeColor="text1"/>
          <w14:ligatures w14:val="none"/>
        </w:rPr>
        <w:t xml:space="preserve">тной связи доступна на портале Госулуг в разделе «Решаем вместе», в мобильном приложении «Госуслуги, решаем вместе» и на главной странице </w:t>
      </w:r>
      <w:hyperlink r:id="rId40" w:tooltip="https://rosreestr.gov.ru/" w:history="1">
        <w:r>
          <w:rPr>
            <w:b w:val="0"/>
            <w:bCs w:val="0"/>
            <w:color w:val="000000" w:themeColor="text1"/>
            <w14:ligatures w14:val="none"/>
          </w:rPr>
          <w:t xml:space="preserve">сайта Росреестра</w:t>
        </w:r>
      </w:hyperlink>
      <w:r>
        <w:rPr>
          <w:b w:val="0"/>
          <w:bCs w:val="0"/>
          <w:color w:val="000000" w:themeColor="text1"/>
          <w14:ligatures w14:val="none"/>
        </w:rPr>
        <w:t xml:space="preserve"> через виджет «Госуслуги, решаем вместе».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jc w:val="both"/>
        <w:rPr>
          <w:b/>
          <w:bCs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14:ligatures w14:val="none"/>
        </w:rPr>
      </w:r>
      <w:r>
        <w:rPr>
          <w:b/>
          <w:bCs/>
          <w14:ligatures w14:val="none"/>
        </w:rPr>
      </w:r>
      <w:r>
        <w:rPr>
          <w:b/>
          <w:bCs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  <w:t xml:space="preserve">22. </w:t>
      </w:r>
      <w:r>
        <w:rPr>
          <w:b/>
          <w:bCs/>
          <w:highlight w:val="none"/>
        </w:rPr>
        <w:t xml:space="preserve">Новосибирский Росреестр стал участником большого события для профессионалов рынка недвижимости.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10 апреля в Новосибирске состоялась конференция Домклик, в рамках которой были рассмотрены инновации рынка недвижимости. Представители Управления Росреестра по Новосибирской области стали не только участниками мероприятий, но и вошли в число ключевых спике</w:t>
      </w:r>
      <w:r>
        <w:rPr>
          <w:b w:val="0"/>
          <w:bCs w:val="0"/>
          <w:highlight w:val="none"/>
        </w:rPr>
        <w:t xml:space="preserve">ров.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Конференция прошла в уникальном формате: деловая повестка объединилась с культурной программой на сцене легендарного Новосибирского театра оперы и балета.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Конференция собрала более 1,5 тысяч участников офлайн и 700 тысяч онлайн, к мероприятиям подкл</w:t>
      </w:r>
      <w:r>
        <w:rPr>
          <w:b w:val="0"/>
          <w:bCs w:val="0"/>
          <w:highlight w:val="none"/>
        </w:rPr>
        <w:t xml:space="preserve">ючились профсообщества со всей страны. В основу деловой программы легли ключевые запросы аудитории и результаты исследований, благодаря чему на всех площадках конференции состоялся открытый диалог бизнеса и власти, рассмотрены реальные проекты и главные тр</w:t>
      </w:r>
      <w:r>
        <w:rPr>
          <w:b w:val="0"/>
          <w:bCs w:val="0"/>
          <w:highlight w:val="none"/>
        </w:rPr>
        <w:t xml:space="preserve">енды рынка недвижимости.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Одной из ключевых тем конференции стало выявление эффективных механизмов защиты сделок с недвижимым имуществом. В дискуссии на тему «Как мошеннические схемы трансформируют законодательство рынка недвижимости» приняли участие руков</w:t>
      </w:r>
      <w:r>
        <w:rPr>
          <w:b w:val="0"/>
          <w:bCs w:val="0"/>
          <w:highlight w:val="none"/>
        </w:rPr>
        <w:t xml:space="preserve">одитель Управления Росреестра по Новосибирской области </w:t>
      </w:r>
      <w:r>
        <w:rPr>
          <w:b w:val="0"/>
          <w:bCs w:val="0"/>
          <w:highlight w:val="none"/>
        </w:rPr>
        <w:t xml:space="preserve">Светлана Рягузова</w:t>
      </w:r>
      <w:r>
        <w:rPr>
          <w:b w:val="0"/>
          <w:bCs w:val="0"/>
          <w:highlight w:val="none"/>
        </w:rPr>
        <w:t xml:space="preserve">, нотариус нотариального округа города Новосибирска </w:t>
      </w:r>
      <w:r>
        <w:rPr>
          <w:b w:val="0"/>
          <w:bCs w:val="0"/>
          <w:highlight w:val="none"/>
        </w:rPr>
        <w:t xml:space="preserve">Алексей Фриск</w:t>
      </w:r>
      <w:r>
        <w:rPr>
          <w:b w:val="0"/>
          <w:bCs w:val="0"/>
          <w:highlight w:val="none"/>
        </w:rPr>
        <w:t xml:space="preserve">, директор Агентства недвижимости «Жилфонд» </w:t>
      </w:r>
      <w:r>
        <w:rPr>
          <w:b w:val="0"/>
          <w:bCs w:val="0"/>
          <w:highlight w:val="none"/>
        </w:rPr>
        <w:t xml:space="preserve">Александр Чернокульский</w:t>
      </w:r>
      <w:r>
        <w:rPr>
          <w:b w:val="0"/>
          <w:bCs w:val="0"/>
          <w:highlight w:val="none"/>
        </w:rPr>
        <w:t xml:space="preserve"> и генеральный директор Сибирской юридической компании, президент Межрегиональной Ассоциации руководителей предприятий, член Общественного совета при новосибирском Росреестре </w:t>
      </w:r>
      <w:r>
        <w:rPr>
          <w:b w:val="0"/>
          <w:bCs w:val="0"/>
          <w:highlight w:val="none"/>
        </w:rPr>
        <w:t xml:space="preserve">Сергей Карпекин</w:t>
      </w:r>
      <w:r>
        <w:rPr>
          <w:b w:val="0"/>
          <w:bCs w:val="0"/>
          <w:highlight w:val="none"/>
        </w:rPr>
        <w:t xml:space="preserve">. Вместе с модератором Алёной Уваровой, директором юридического департамента Домклик, участники разобрали актуальные законодательные инициативы.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Несколько главных выводов по итогам дискуссии: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Статистика говорит: рынок устойчив, количество исков об оспаривании сделок снизилось, вторичный рынок стабилен - ежедневно новосибирский Росреестр регистрирует до 1,5 тысяч сделок.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Нотариус — не панацея, нот</w:t>
      </w:r>
      <w:r>
        <w:rPr>
          <w:b w:val="0"/>
          <w:bCs w:val="0"/>
          <w:highlight w:val="none"/>
        </w:rPr>
        <w:t xml:space="preserve">ариальные сделки тоже оспариваются в судах. Имущественная ответственность нотариуса наступает только при доказательстве его вины.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Прозрачность — лучшая стратегия. Проверяйте продавца, фиксируйте каждый этап сделки документально. Главный тренд — грамотност</w:t>
      </w:r>
      <w:r>
        <w:rPr>
          <w:b w:val="0"/>
          <w:bCs w:val="0"/>
          <w:highlight w:val="none"/>
        </w:rPr>
        <w:t xml:space="preserve">ь в сочетании с технологиями.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Риелторы и клиенты должны повышать правовую осознанность.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Главное — комплексный подход к безопасности сделок.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Простой и мощный способ самозащиты - подайте заявление о невозможности регистрации недвижимости без личного участ</w:t>
      </w:r>
      <w:r>
        <w:rPr>
          <w:b w:val="0"/>
          <w:bCs w:val="0"/>
          <w:highlight w:val="none"/>
        </w:rPr>
        <w:t xml:space="preserve">ия собственника. </w:t>
      </w:r>
      <w:r>
        <w:rPr>
          <w:b w:val="0"/>
          <w:bCs w:val="0"/>
          <w:highlight w:val="none"/>
        </w:rPr>
        <w:t xml:space="preserve">«И собственники стали активно его использовать,</w:t>
      </w:r>
      <w:r>
        <w:rPr>
          <w:b w:val="0"/>
          <w:bCs w:val="0"/>
          <w:highlight w:val="none"/>
        </w:rPr>
        <w:t xml:space="preserve"> - сообщила руководитель Управления Росреестра по Новосибирской области </w:t>
      </w:r>
      <w:r>
        <w:rPr>
          <w:b w:val="0"/>
          <w:bCs w:val="0"/>
          <w:highlight w:val="none"/>
        </w:rPr>
        <w:t xml:space="preserve">Светлана Рягузова</w:t>
      </w:r>
      <w:r>
        <w:rPr>
          <w:b w:val="0"/>
          <w:bCs w:val="0"/>
          <w:highlight w:val="none"/>
        </w:rPr>
        <w:t xml:space="preserve">. - </w:t>
      </w:r>
      <w:r>
        <w:rPr>
          <w:b w:val="0"/>
          <w:bCs w:val="0"/>
          <w:highlight w:val="none"/>
        </w:rPr>
        <w:t xml:space="preserve">С 2018 года в новосибирский Росреестр поступило более 70,5 тысяч таких заявлений, при этом активность в 2026 году выросла до 105 заявлений в день, тогда как в 2025 году ежедневно поступало в среднем лишь 58 заявлений, а в 2020 году – 12».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Руководитель новосибирского Росреестра рекомендовала также перед совершением любой сделки проверять все сведения о недвижимости и их правообладателях, содержащихся в Едином государственном реестре недвижимости, для этого использовать исключительно официаль</w:t>
      </w:r>
      <w:r>
        <w:rPr>
          <w:b w:val="0"/>
          <w:bCs w:val="0"/>
          <w:highlight w:val="none"/>
        </w:rPr>
        <w:t xml:space="preserve">ные источники получения данных. Речь, в частности, шла о единой цифровой платформе «Национальная система пространственных данных»: «Здесь объединены все сведения о земельных участках, объектах капитального строительства, данные ежедневно пополняются и в лю</w:t>
      </w:r>
      <w:r>
        <w:rPr>
          <w:b w:val="0"/>
          <w:bCs w:val="0"/>
          <w:highlight w:val="none"/>
        </w:rPr>
        <w:t xml:space="preserve">бой момент можно получить всю самую актуальную информацию».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Светлана Рягузова обратила внимание, что помимо воли сторон сделки, помощи профессионалов в ее сопровождении необходимо учитывать важные для конкретных участников сделки обстоятельства, которые с</w:t>
      </w:r>
      <w:r>
        <w:rPr>
          <w:b w:val="0"/>
          <w:bCs w:val="0"/>
          <w:highlight w:val="none"/>
        </w:rPr>
        <w:t xml:space="preserve">ледует прописывать в договоре как существенные условия. Речь идет, например, о ситуациях, когда продавец признан банкротом, или продаваемая квартира приобреталась когда-то с использованием средств материнского капитала, но доли несовершеннолетнему не были </w:t>
      </w:r>
      <w:r>
        <w:rPr>
          <w:b w:val="0"/>
          <w:bCs w:val="0"/>
          <w:highlight w:val="none"/>
        </w:rPr>
        <w:t xml:space="preserve">выделены.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ходе дискуссии руководитель Управления Росреестра анонсировала запуск с 1 июля 2026 года нового механизма подачи документов с использованием Единой биометрической системы, который позволит повысить безопасность и снизить риски мошенничества в </w:t>
      </w:r>
      <w:r>
        <w:rPr>
          <w:b w:val="0"/>
          <w:bCs w:val="0"/>
          <w:highlight w:val="none"/>
        </w:rPr>
        <w:t xml:space="preserve">сфере оформления недвижимости.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 масштабе конференции смотрите </w:t>
      </w:r>
      <w:hyperlink r:id="rId41" w:tooltip="https://max.ru/domclick_pro/AZ16p6mPeqM" w:history="1">
        <w:r>
          <w:rPr>
            <w:b w:val="0"/>
            <w:bCs w:val="0"/>
            <w:highlight w:val="none"/>
          </w:rPr>
          <w:t xml:space="preserve">видеролик</w:t>
        </w:r>
      </w:hyperlink>
      <w:r>
        <w:rPr>
          <w:b w:val="0"/>
          <w:bCs w:val="0"/>
          <w:highlight w:val="none"/>
        </w:rPr>
        <w:t xml:space="preserve"> Домклик </w:t>
      </w:r>
      <w:r>
        <w:rPr>
          <w:b w:val="0"/>
          <w:bCs w:val="0"/>
          <w:highlight w:val="none"/>
        </w:rPr>
        <w:t xml:space="preserve">по ссылке </w:t>
      </w:r>
      <w:hyperlink r:id="rId42" w:tooltip="https://max.ru/domclick_pro/AZ16p6mPeqM." w:history="1">
        <w:r>
          <w:rPr>
            <w:b w:val="0"/>
            <w:bCs w:val="0"/>
            <w:highlight w:val="none"/>
          </w:rPr>
          <w:t xml:space="preserve">https://max.ru/domclick_pro/AZ16p6mPeqM</w:t>
        </w:r>
        <w:r>
          <w:rPr>
            <w:b w:val="0"/>
            <w:bCs w:val="0"/>
            <w:highlight w:val="none"/>
          </w:rPr>
          <w:t xml:space="preserve">.</w:t>
        </w:r>
        <w:r>
          <w:rPr>
            <w:b w:val="0"/>
            <w:bCs w:val="0"/>
            <w:highlight w:val="none"/>
          </w:rPr>
        </w:r>
        <w:r>
          <w:rPr>
            <w:b w:val="0"/>
            <w:bCs w:val="0"/>
            <w:highlight w:val="none"/>
          </w:rPr>
        </w:r>
      </w:hyperlink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  <w:t xml:space="preserve">23. </w:t>
      </w:r>
      <w:r>
        <w:rPr>
          <w:b/>
          <w:bCs/>
          <w:highlight w:val="none"/>
        </w:rPr>
        <w:t xml:space="preserve">Строительство многоквартирного дома: что нужно знать дольщикам.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Сегодня все сделки на первичном рынке недвижимости регистрируются в электронном виде. Для сравнения: еще два года назад доля таких сделок не превышала 86%. Исключение предусмотрено лишь для покупки квартиры по договору уступки прав требования - здесь допус</w:t>
      </w:r>
      <w:r>
        <w:rPr>
          <w:b w:val="0"/>
          <w:bCs w:val="0"/>
          <w:highlight w:val="none"/>
        </w:rPr>
        <w:t xml:space="preserve">тима как электронная, так и бумажная форма сделки.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Специалисты Управления Росреестра по Новосибирской области обращают внимание жителей региона на важный аспект, который может повлиять на регистрацию сделки: наличие арестов или запретов в отношении земель</w:t>
      </w:r>
      <w:r>
        <w:rPr>
          <w:b w:val="0"/>
          <w:bCs w:val="0"/>
          <w:highlight w:val="none"/>
        </w:rPr>
        <w:t xml:space="preserve">ного участка под строящимся многоквартирным домом.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Почему это важно для дольщика?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Если в отношении земельного участка установлен запрет (например, на совершение регистрационных действий), то зарегистрировать новый договор участия в долевом строительстве нельзя.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Поэтому до подписания договора рекомендуется проверить сведения о земельном</w:t>
      </w:r>
      <w:r>
        <w:rPr>
          <w:b w:val="0"/>
          <w:bCs w:val="0"/>
          <w:highlight w:val="none"/>
        </w:rPr>
        <w:t xml:space="preserve"> участке.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Как это можно сделать?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Заказать выписку из Единого государственного реестра недвижимости об основных характеристиках и зарегистрированных правах на объект недвижимости: сделать это можно в любом офисе МФЦ или в электронном виде обратиться к официальным источникам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сайт </w:t>
      </w:r>
      <w:hyperlink r:id="rId43" w:tooltip="https://rosreestr.gov.ru/" w:history="1">
        <w:r>
          <w:rPr>
            <w:b w:val="0"/>
            <w:bCs w:val="0"/>
            <w:highlight w:val="none"/>
          </w:rPr>
          <w:t xml:space="preserve">Росреестра</w:t>
        </w:r>
      </w:hyperlink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сайт ППК </w:t>
      </w:r>
      <w:hyperlink r:id="rId44" w:tooltip="https://kadastr.ru/" w:history="1">
        <w:r>
          <w:rPr>
            <w:b w:val="0"/>
            <w:bCs w:val="0"/>
            <w:highlight w:val="none"/>
          </w:rPr>
          <w:t xml:space="preserve">«Роскадастр»</w:t>
        </w:r>
      </w:hyperlink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портал </w:t>
      </w:r>
      <w:hyperlink r:id="rId45" w:tooltip="https://www.gosuslugi.ru/" w:history="1">
        <w:r>
          <w:rPr>
            <w:b w:val="0"/>
            <w:bCs w:val="0"/>
            <w:highlight w:val="none"/>
          </w:rPr>
          <w:t xml:space="preserve">Госуслуг</w:t>
        </w:r>
      </w:hyperlink>
      <w:r>
        <w:rPr>
          <w:b w:val="0"/>
          <w:bCs w:val="0"/>
          <w:highlight w:val="none"/>
        </w:rPr>
        <w:t xml:space="preserve">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Однако, следует знать, что наличие обеспечительных мер на земельном участке не препятствует: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заключению дополнительного соглашения к уже зарегистрированному договору;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расторжению ранее заключенного договора;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заключению соглашения об уступке пра</w:t>
      </w:r>
      <w:r>
        <w:rPr>
          <w:b w:val="0"/>
          <w:bCs w:val="0"/>
          <w:highlight w:val="none"/>
        </w:rPr>
        <w:t xml:space="preserve">в требования по договору;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регистрации права собственности дольщика на объект долевого строительства после ввода дома в эксплуатацию;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постановке многоквартирного дома на государственный кадастровый учет.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«Важно понимать, что запрет в отношении земельного участка не означает остановку строительства. Данная мера лишь препятствует регистрации договоров долевого участия с дольщиками. При этом сам дом строится и вводится в эксплуатацию в обычном порядке, </w:t>
      </w:r>
      <w:r>
        <w:rPr>
          <w:b w:val="0"/>
          <w:bCs w:val="0"/>
          <w:highlight w:val="none"/>
        </w:rPr>
        <w:t xml:space="preserve">– сообщила заместитель руководителя Управления Росреестра по Новосибирской области </w:t>
      </w:r>
      <w:r>
        <w:rPr>
          <w:b w:val="0"/>
          <w:bCs w:val="0"/>
          <w:highlight w:val="none"/>
        </w:rPr>
        <w:t xml:space="preserve">Наталья Ивчатова.</w:t>
      </w:r>
      <w:r>
        <w:rPr>
          <w:b w:val="0"/>
          <w:bCs w:val="0"/>
          <w:highlight w:val="none"/>
        </w:rPr>
        <w:t xml:space="preserve"> - </w:t>
      </w:r>
      <w:r>
        <w:rPr>
          <w:b w:val="0"/>
          <w:bCs w:val="0"/>
          <w:highlight w:val="none"/>
        </w:rPr>
        <w:t xml:space="preserve">Во избежание приостановления регистрационных действий рекомендуем ответственно подходить к заключению договора и заблаговременно проверять земельный участок, на котором осуществляется строительство многоквартирного дома, на наличие арестов и запретов».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По вопросу снятия обеспечительных мер в отношении земельного участка необходимо обращаться к застройщику. Именно он располагает сведениями о причинах наложения ареста или запрета и инициирует процедуру их погашения после устранения соответствующих основани</w:t>
      </w:r>
      <w:r>
        <w:rPr>
          <w:b w:val="0"/>
          <w:bCs w:val="0"/>
          <w:highlight w:val="none"/>
        </w:rPr>
        <w:t xml:space="preserve">й.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  <w:t xml:space="preserve">24. </w:t>
      </w:r>
      <w:r>
        <w:rPr>
          <w:b/>
          <w:bCs/>
          <w:highlight w:val="none"/>
        </w:rPr>
        <w:t xml:space="preserve">В каких случаях участники долевой собственности обращаются за регистрацией одновременно?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Если право возникает с момента регистрации, участники общей долевой собственности должны обратиться за государственной регистрацией </w:t>
      </w:r>
      <w:r>
        <w:rPr>
          <w:b w:val="0"/>
          <w:bCs w:val="0"/>
          <w:highlight w:val="none"/>
        </w:rPr>
        <w:t xml:space="preserve">одновременно</w:t>
      </w:r>
      <w:r>
        <w:rPr>
          <w:b w:val="0"/>
          <w:bCs w:val="0"/>
          <w:highlight w:val="none"/>
        </w:rPr>
        <w:t xml:space="preserve">.Например, при покупке недвижимости несколькими лицами, получении земли в общую долевую собственность, приобретении доли недвижимого имущества в дар.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Только в случае если такое право возникает </w:t>
      </w:r>
      <w:r>
        <w:rPr>
          <w:b w:val="0"/>
          <w:bCs w:val="0"/>
          <w:highlight w:val="none"/>
        </w:rPr>
        <w:t xml:space="preserve">не с момента государственной регистрации</w:t>
      </w:r>
      <w:r>
        <w:rPr>
          <w:b w:val="0"/>
          <w:bCs w:val="0"/>
          <w:highlight w:val="none"/>
        </w:rPr>
        <w:t xml:space="preserve">, каждый из участников общей долевой собственности может обратиться в Росреестр за регистрацией принадлежащей ему доли </w:t>
      </w:r>
      <w:r>
        <w:rPr>
          <w:b w:val="0"/>
          <w:bCs w:val="0"/>
          <w:highlight w:val="none"/>
        </w:rPr>
        <w:t xml:space="preserve">независимо</w:t>
      </w:r>
      <w:r>
        <w:rPr>
          <w:b w:val="0"/>
          <w:bCs w:val="0"/>
          <w:highlight w:val="none"/>
        </w:rPr>
        <w:t xml:space="preserve"> от того, обращаются ли другие участники общей долевой собственности. К таким ситуациям относятся: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ранее возникшее право, то есть право общей долевой собственности, которое возникло </w:t>
      </w:r>
      <w:r>
        <w:rPr>
          <w:b w:val="0"/>
          <w:bCs w:val="0"/>
          <w:highlight w:val="none"/>
        </w:rPr>
        <w:t xml:space="preserve">до 31.01.1998</w:t>
      </w:r>
      <w:r>
        <w:rPr>
          <w:b w:val="0"/>
          <w:bCs w:val="0"/>
          <w:highlight w:val="none"/>
        </w:rPr>
        <w:t xml:space="preserve"> (зарегистрировано в БТИ, местной администрации или земельном комитете);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приобретение двумя и более лицами недвижимого имущества </w:t>
      </w:r>
      <w:r>
        <w:rPr>
          <w:b w:val="0"/>
          <w:bCs w:val="0"/>
          <w:highlight w:val="none"/>
        </w:rPr>
        <w:t xml:space="preserve">в порядке наследования</w:t>
      </w:r>
      <w:r>
        <w:rPr>
          <w:b w:val="0"/>
          <w:bCs w:val="0"/>
          <w:highlight w:val="none"/>
        </w:rPr>
        <w:t xml:space="preserve"> (свидетельство о праве на наследство);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право общей долевой собственности на основании договора приватизации жилого помещения, заключенного </w:t>
      </w:r>
      <w:r>
        <w:rPr>
          <w:b w:val="0"/>
          <w:bCs w:val="0"/>
          <w:highlight w:val="none"/>
        </w:rPr>
        <w:t xml:space="preserve">до 31.05.2001.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  <w:t xml:space="preserve">25. </w:t>
      </w:r>
      <w:r>
        <w:rPr>
          <w:b/>
          <w:bCs/>
          <w:highlight w:val="none"/>
        </w:rPr>
        <w:t xml:space="preserve">5666 территориальных зон содержится в Едином государственном реестре недвижимости.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муниципальных образованиях Новосибирской области 7619 территориальных зон. На 01.04.2026 в Едином государственном реестре недвижимости содержатся сведения о 5666 территориальных зонах (74,4%).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С начала года ЕГРН пополнился границами 497 территориальных </w:t>
      </w:r>
      <w:r>
        <w:rPr>
          <w:b w:val="0"/>
          <w:bCs w:val="0"/>
          <w:highlight w:val="none"/>
        </w:rPr>
        <w:t xml:space="preserve">зон.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полном объеме внесены в реестр территориальные зоны Новосибирска, Бердска, Куйбышева, р.п. Кольцово, р.п. Мошково, с. Венгерово, с. Здвинск, с. Кочки, с. Убинское, с. Усть-Тарка, Доволенского муниципального округа.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На финишной прямой (более 90%) р</w:t>
      </w:r>
      <w:r>
        <w:rPr>
          <w:b w:val="0"/>
          <w:bCs w:val="0"/>
          <w:highlight w:val="none"/>
        </w:rPr>
        <w:t xml:space="preserve">абота в Искитиме, Карасуке, р.п. Колывань, р.п. Коченево, р.п. Краснозерское, р.п. Линево, р.п. Маслянино, Кочковском, Краснозерском и Новосибирском районах.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Оби, р.п. Сузун, р.п. Чик и на территориях Барабинского, Искитимского, Колыванского, Коченевско</w:t>
      </w:r>
      <w:r>
        <w:rPr>
          <w:b w:val="0"/>
          <w:bCs w:val="0"/>
          <w:highlight w:val="none"/>
        </w:rPr>
        <w:t xml:space="preserve">го, Чулымского районов, Венгеровского, Карасукского, Северного и Сузунского муниципальных округов границы имеют более 80% территориальных зон.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Территориальная зона </w:t>
      </w:r>
      <w:r>
        <w:rPr>
          <w:b w:val="0"/>
          <w:bCs w:val="0"/>
          <w:highlight w:val="none"/>
        </w:rPr>
        <w:t xml:space="preserve">– это территория, для которой в правилах землепользования и застройки установлены границы и градостроительные регламенты.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Градостроительный регламент для каждой территориальной зоны определяет: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виды разрешенного использования земельных участков и объек</w:t>
      </w:r>
      <w:r>
        <w:rPr>
          <w:b w:val="0"/>
          <w:bCs w:val="0"/>
          <w:highlight w:val="none"/>
        </w:rPr>
        <w:t xml:space="preserve">тов капитального строительства;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строительства;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ограничения использования земельных участко</w:t>
      </w:r>
      <w:r>
        <w:rPr>
          <w:b w:val="0"/>
          <w:bCs w:val="0"/>
          <w:highlight w:val="none"/>
        </w:rPr>
        <w:t xml:space="preserve">в и объектов капитального строительства.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Сведения о границах территориальных зон можно получить в виде выписки из ЕГРН, а увидеть - воспользовавшись порталом пространственных данных </w:t>
      </w:r>
      <w:hyperlink r:id="rId46" w:tooltip="https://nspd.gov.ru/map." w:history="1">
        <w:r>
          <w:rPr>
            <w:b w:val="0"/>
            <w:bCs w:val="0"/>
            <w:highlight w:val="none"/>
          </w:rPr>
          <w:t xml:space="preserve">«Национальная система пространственных данных»</w:t>
        </w:r>
      </w:hyperlink>
      <w:r>
        <w:rPr>
          <w:b w:val="0"/>
          <w:bCs w:val="0"/>
          <w:highlight w:val="none"/>
        </w:rPr>
        <w:t xml:space="preserve">. 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jc w:val="both"/>
        <w:rPr>
          <w:b/>
          <w:bCs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14:ligatures w14:val="none"/>
        </w:rPr>
      </w:r>
      <w:r>
        <w:rPr>
          <w:b/>
          <w:bCs/>
          <w14:ligatures w14:val="none"/>
        </w:rPr>
      </w:r>
      <w:r>
        <w:rPr>
          <w:b/>
          <w:bCs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  <w:t xml:space="preserve">26. </w:t>
      </w:r>
      <w:r>
        <w:rPr>
          <w:b/>
          <w:bCs/>
          <w:highlight w:val="none"/>
        </w:rPr>
        <w:t xml:space="preserve">О взаимодействии с органами местного самоуправления.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21 апреля в России отмечается День местного самоуправления.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Взаимодействие органов местного самоуправления с Управлением Росреестра и филиалом ППК «Роскадастр» позволяет оперативно решать широкий круг вопросов в отношении недвижимости на территории муници</w:t>
      </w:r>
      <w:r>
        <w:rPr>
          <w:b w:val="0"/>
          <w:bCs w:val="0"/>
          <w:highlight w:val="none"/>
        </w:rPr>
        <w:t xml:space="preserve">палитетов.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Значимыми направлениями взаимодействия являются совместные мероприятия в рамках реализации государственной программы «Национальная система пространственных данных».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Регистрация права муниципальной собственности, распоряжение муниципальным имущ</w:t>
      </w:r>
      <w:r>
        <w:rPr>
          <w:b w:val="0"/>
          <w:bCs w:val="0"/>
          <w:highlight w:val="none"/>
        </w:rPr>
        <w:t xml:space="preserve">еством, оформление ранее возникших прав, выявление правообладателей ранее учтенных объектов недвижимости, проведение комплексных кадастровых работ, внесение в Единый государственный реестр недвижимости (ЕГРН) сведений о границах населенных пунктов, террито</w:t>
      </w:r>
      <w:r>
        <w:rPr>
          <w:b w:val="0"/>
          <w:bCs w:val="0"/>
          <w:highlight w:val="none"/>
        </w:rPr>
        <w:t xml:space="preserve">риальных зон, зон с особыми условиями использования территорий, наполнение ЕГРН сведениями о категории земель и разрешенном использовании земельных участков – основные точки соприкосновения деятельности ведомства и местных администраций.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Активное взаимоде</w:t>
      </w:r>
      <w:r>
        <w:rPr>
          <w:b w:val="0"/>
          <w:bCs w:val="0"/>
          <w:highlight w:val="none"/>
        </w:rPr>
        <w:t xml:space="preserve">йствие с органами местного самоуправления происходит в рамках выполнения комплексных кадастровых работ федерального значения, которые проводятся на территории муниципальных образований Новосибирской области. Региональный Роскадастр выступает в качестве исп</w:t>
      </w:r>
      <w:r>
        <w:rPr>
          <w:b w:val="0"/>
          <w:bCs w:val="0"/>
          <w:highlight w:val="none"/>
        </w:rPr>
        <w:t xml:space="preserve">олнителя работ – специалисты уточняют границы земельных участков и объектов капитального строительства, исправляют реестровые ошибки. Результат такой работы – наполнение ЕГРН полными и точными сведениями без привлечения средств правообладателей, исключение</w:t>
      </w:r>
      <w:r>
        <w:rPr>
          <w:b w:val="0"/>
          <w:bCs w:val="0"/>
          <w:highlight w:val="none"/>
        </w:rPr>
        <w:t xml:space="preserve"> возможных споров по границам земельных участков.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Все заявления органов местного самоуправления об осуществлении учетно-регистрационных действий (в том числе по предоставлению муниципальных услуг гражданам) поступают в электронном виде и рассматриваются в</w:t>
      </w:r>
      <w:r>
        <w:rPr>
          <w:b w:val="0"/>
          <w:bCs w:val="0"/>
          <w:highlight w:val="none"/>
        </w:rPr>
        <w:t xml:space="preserve"> кратчайшие сроки.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Работа непосредственно с местными жителями, многозадачность и публичный характер деятельности требуют от работников органов местного самоуправления широкого спектра знаний, постоянного самоконтроля, высокого уровня ответственности и соц</w:t>
      </w:r>
      <w:r>
        <w:rPr>
          <w:b w:val="0"/>
          <w:bCs w:val="0"/>
          <w:highlight w:val="none"/>
        </w:rPr>
        <w:t xml:space="preserve">иальной ориентированности.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«Взаимодействие органов местного самоуправления с Росреестром играет ключевую роль в эффективном решении земельно-имущественных вопросов.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Тесное рабочее взаимодействие с Росреестром значимо не только для повседневной деятельности муниципальных служащих, н</w:t>
      </w:r>
      <w:r>
        <w:rPr>
          <w:b w:val="0"/>
          <w:bCs w:val="0"/>
          <w:highlight w:val="none"/>
        </w:rPr>
        <w:t xml:space="preserve">о и для качественного консультирования граждан.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Именно совместная работа органов местного самоуправления и Росреестра служит основой для результативного управления муниципальным имуществом, выявления объектов недвижимости и их правообладателей, оформления</w:t>
      </w:r>
      <w:r>
        <w:rPr>
          <w:b w:val="0"/>
          <w:bCs w:val="0"/>
          <w:highlight w:val="none"/>
        </w:rPr>
        <w:t xml:space="preserve"> прав на имущество и полноценного наполнения ЕГРН достоверными сведениями. Без такого партнёрства невозможно обеспечить прозрачность и законность в сфере недвижимости на местном уровне», </w:t>
      </w:r>
      <w:r>
        <w:rPr>
          <w:b w:val="0"/>
          <w:bCs w:val="0"/>
          <w:highlight w:val="none"/>
        </w:rPr>
        <w:t xml:space="preserve">– прокомментировал глава р.п. Кольцово </w:t>
      </w:r>
      <w:r>
        <w:rPr>
          <w:b w:val="0"/>
          <w:bCs w:val="0"/>
          <w:highlight w:val="none"/>
        </w:rPr>
        <w:t xml:space="preserve">Красников Николай Григорьевич.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Поздравляем коллег с праздником! Желаем успешной реализации поставленных задач, благополучия, процветания и здоровья!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  <w:t xml:space="preserve">27. </w:t>
      </w:r>
      <w:r>
        <w:rPr>
          <w:b/>
          <w:bCs/>
          <w:highlight w:val="none"/>
        </w:rPr>
        <w:t xml:space="preserve">Росреестром разработан законопроект в целях повышения эффективности федерального и муниципального земельного контроля в сфере беспилотных технологий.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Законопроект по повышению эффективности государственного и муниципального земельного контроля (надзора) разработан в рамках исполнения указания Президента Российской Федерации  и предлагает расширить применение беспилотного летательного аппарата в ходе гос</w:t>
      </w:r>
      <w:r>
        <w:rPr>
          <w:b w:val="0"/>
          <w:bCs w:val="0"/>
          <w:highlight w:val="none"/>
        </w:rPr>
        <w:t xml:space="preserve">ударственного и муниципального земельного контроля, что позволит обследовать земельные участки без взаимодействия с правообладателями – по аналогии с выявлением нарушений правил дорожного движения. В результате снизится количество очных проверок, будут мин</w:t>
      </w:r>
      <w:r>
        <w:rPr>
          <w:b w:val="0"/>
          <w:bCs w:val="0"/>
          <w:highlight w:val="none"/>
        </w:rPr>
        <w:t xml:space="preserve">имизированы контакты собственников с инспекторами и автоматизированы многие сопутствующие процессы.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Применение современных технических средств обеспечит более объективное принятие решений в сфере государственного и муниципального земельного контроля. Комп</w:t>
      </w:r>
      <w:r>
        <w:rPr>
          <w:b w:val="0"/>
          <w:bCs w:val="0"/>
          <w:highlight w:val="none"/>
        </w:rPr>
        <w:t xml:space="preserve">лекс предусмотренных мер будет мотивировать правообладателей тщательнее следить за состоянием земельных участков и соблюдать требования земельного законодательства.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2025 году новосибирским Росреестром было проведено 50 полетов с использованием беспилотн</w:t>
      </w:r>
      <w:r>
        <w:rPr>
          <w:b w:val="0"/>
          <w:bCs w:val="0"/>
          <w:highlight w:val="none"/>
        </w:rPr>
        <w:t xml:space="preserve">ого летательного аппарата, обследовано 11 600 земельных участков общей площадью 4391 гектар. Полеты проводились над территориями города Новосибирска, а также Новосибирского, Колыванского, Мошковского, Черепановского, Тогучинского, Чистоозерного районов Нов</w:t>
      </w:r>
      <w:r>
        <w:rPr>
          <w:b w:val="0"/>
          <w:bCs w:val="0"/>
          <w:highlight w:val="none"/>
        </w:rPr>
        <w:t xml:space="preserve">осибирской области.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Инициатива Росреестра — очередной  важный шаг к созданию современной системы земельного контроля и его цифровизации. Внедрение беспилотных технологий позволяет повысить эффективность государственного и муниципального земельного контрол</w:t>
      </w:r>
      <w:r>
        <w:rPr>
          <w:b w:val="0"/>
          <w:bCs w:val="0"/>
          <w:highlight w:val="none"/>
        </w:rPr>
        <w:t xml:space="preserve">я (надзора), снизить административную нагрузку и обеспечить более надёжную защиту земельных ресурсов.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  <w:t xml:space="preserve">28. </w:t>
      </w:r>
      <w:r>
        <w:rPr>
          <w:b/>
          <w:bCs/>
          <w:highlight w:val="none"/>
        </w:rPr>
        <w:t xml:space="preserve">Жители Новосибирской области получили консультации по вопросам профилактики нарушений земельного законодательства.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21 апреля в Управлении Росреестра по Новосибирской области прошла «горячая» телефонная линия по вопросам профилактики нарушений земельного законодательства.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На номера «горячих» линий поступило более 20 звонков, специалисты Управления  ответили на вопросы </w:t>
      </w:r>
      <w:r>
        <w:rPr>
          <w:b w:val="0"/>
          <w:bCs w:val="0"/>
          <w:highlight w:val="none"/>
        </w:rPr>
        <w:t xml:space="preserve">жителей Новосибирской области.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Среди часто задаваемых вопросов: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Неиспользование земельного участка соседом. Могут ли изъять такой участок? Какова процедура изъятия? Какие признаки неиспользования садовых и огородных участков?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На портале Госуслуг пол</w:t>
      </w:r>
      <w:r>
        <w:rPr>
          <w:b w:val="0"/>
          <w:bCs w:val="0"/>
          <w:highlight w:val="none"/>
        </w:rPr>
        <w:t xml:space="preserve">учили предостережение об имеющихся нарушениях при использовании земельного участка. Как уточнить информацию о выявленных нарушениях?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 Вопросы проведения комплексных кадастровых работ.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Публикуем ответы на некоторые из поступивших вопросов.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Что делать при получении предостережения о недопустимости нарушения обязательных требований земельного законодательств</w:t>
      </w:r>
      <w:r>
        <w:rPr>
          <w:b w:val="0"/>
          <w:bCs w:val="0"/>
          <w:highlight w:val="none"/>
        </w:rPr>
        <w:t xml:space="preserve">а?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Основная работа государственных инспекторов по использованию и охране земель направлена на профилактику нарушений среди землепользователей.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При получении сведений о готовящихся нарушениях или о признаках нарушений земельного законодательства Управлени</w:t>
      </w:r>
      <w:r>
        <w:rPr>
          <w:b w:val="0"/>
          <w:bCs w:val="0"/>
          <w:highlight w:val="none"/>
        </w:rPr>
        <w:t xml:space="preserve">е Росреестра направляет собственнику предостережение о недопустимости нарушения обязательных требований.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Основное предназначение предостережения - предоставить возможность самостоятельно, без вмешательства органов контроля устранить допущенное нарушение и</w:t>
      </w:r>
      <w:r>
        <w:rPr>
          <w:b w:val="0"/>
          <w:bCs w:val="0"/>
          <w:highlight w:val="none"/>
        </w:rPr>
        <w:t xml:space="preserve">ли исключить его совершение. Таким образом предостережение носит предупредительный и профилактический характер, и не создает правовых последствий для лица, в отношении которого оно выдано.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случае получения предостережения новосибирский Росреестр рекомен</w:t>
      </w:r>
      <w:r>
        <w:rPr>
          <w:b w:val="0"/>
          <w:bCs w:val="0"/>
          <w:highlight w:val="none"/>
        </w:rPr>
        <w:t xml:space="preserve">дует принять меры по устранению выявленных признаков нарушений, а в случае несогласия с полученным предостережением – направить свое возражение в адрес Управления Росреестра в течение 30 дней со дня его получения.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Один из жителей нашего СНТ завел у себя на участке несколько коров и занимается их разведением. Является ли это нарушением и куда можно обратиться?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Земельный участок с разрешенным видом использования «для садоводства» не предназначен для содержания домашнего скота, включая коров. Занятие фермерским хозяйством на указанных участках является нарушением целевого использования, административная ответствен</w:t>
      </w:r>
      <w:r>
        <w:rPr>
          <w:b w:val="0"/>
          <w:bCs w:val="0"/>
          <w:highlight w:val="none"/>
        </w:rPr>
        <w:t xml:space="preserve">ность за которое предусмотрена частью 1 статьи 8.8. КоАП РФ.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При обнаружении такого нарушения рекомендуем направить письменное обращение в Управление Росреестра по Новосибирской области: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– по почте на адрес: 630091, г. Новосибирск, ул. Державина, д. 28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– через платформу обратной связи на портале Госуслуг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– в приемную аппарата Управления по адресу: г. Новосибирск, ул. Державина, д. 28, кабинет 10. 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  <w:t xml:space="preserve">29. </w:t>
      </w:r>
      <w:r>
        <w:rPr>
          <w:b/>
          <w:bCs/>
          <w:highlight w:val="none"/>
        </w:rPr>
        <w:t xml:space="preserve">Новосибирский Росреестр принял участие в форуме для риелторов.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Новосибрске проходит III Форум недвижимости Драйв – ежегодное деловое мероприятие для профессиональных участников рынка недвижимости, к которому в 2026 году присоединились риелторы, девелоперы, представители кредитных организаций, ИТ – специалисты из 12 </w:t>
      </w:r>
      <w:r>
        <w:rPr>
          <w:b w:val="0"/>
          <w:bCs w:val="0"/>
          <w:highlight w:val="none"/>
        </w:rPr>
        <w:t xml:space="preserve">регионов России.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 рамках деловой программы с участием Управления Росреестра по Новосибирской области состоялась конференция «ИЖС 2026», на которой выступила начальник отдела государственной регистрации недвижимости Надежда Крутова. Тема выступления: «НСП</w:t>
      </w:r>
      <w:r>
        <w:rPr>
          <w:b w:val="0"/>
          <w:bCs w:val="0"/>
          <w:highlight w:val="none"/>
        </w:rPr>
        <w:t xml:space="preserve">Д для риелторов: от поиска участка до сделки».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Надежда Крутова продемонстрировала участникам возможности электронных сервисов Единой цифровой платформы «Национальная система пространственных данных» (ЕЦП НСПД), полезных как для граждан, так и для профучас</w:t>
      </w:r>
      <w:r>
        <w:rPr>
          <w:b w:val="0"/>
          <w:bCs w:val="0"/>
          <w:highlight w:val="none"/>
        </w:rPr>
        <w:t xml:space="preserve">тников рынка недвижимости.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Особое внимание было уделено сервисам НСПД «Градостроительная проработка онлайн» и «Индивидуальное жилищное строительство».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По словам </w:t>
      </w:r>
      <w:r>
        <w:rPr>
          <w:b w:val="0"/>
          <w:bCs w:val="0"/>
          <w:highlight w:val="none"/>
        </w:rPr>
        <w:t xml:space="preserve">Надежды Крутовой</w:t>
      </w:r>
      <w:r>
        <w:rPr>
          <w:b w:val="0"/>
          <w:bCs w:val="0"/>
          <w:highlight w:val="none"/>
        </w:rPr>
        <w:t xml:space="preserve">, электронные сервисы НСПД стали удобным решением для оперативного получения необходимых достоверных сведений, содержащихся в разных источниках, которые дали возможность принимать решения о строительстве объекта, о приобретении земельного участка, дома или</w:t>
      </w:r>
      <w:r>
        <w:rPr>
          <w:b w:val="0"/>
          <w:bCs w:val="0"/>
          <w:highlight w:val="none"/>
        </w:rPr>
        <w:t xml:space="preserve"> квартиры.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Вице-президент СРО Ассоциация «Национальное объединение агентств недвижимости», активный участник Общественного совета при Управлении Росреестра по Новосибирской области, организатор Форума  </w:t>
      </w:r>
      <w:r>
        <w:rPr>
          <w:b w:val="0"/>
          <w:bCs w:val="0"/>
          <w:highlight w:val="none"/>
        </w:rPr>
        <w:t xml:space="preserve">Кристина Баженова</w:t>
      </w:r>
      <w:r>
        <w:rPr>
          <w:b w:val="0"/>
          <w:bCs w:val="0"/>
          <w:highlight w:val="none"/>
        </w:rPr>
        <w:t xml:space="preserve"> подчеркнула важность представленной информации: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«Сервисы НСПД способны оказать существенную помощь при оказании услуг в сфере недвижимости, полные данные позволяют с уверенностью принять обоснованные и безопасные решения».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</w:rPr>
        <w:t xml:space="preserve">30. </w:t>
      </w:r>
      <w:r>
        <w:rPr>
          <w:b/>
          <w:bCs/>
          <w:highlight w:val="none"/>
        </w:rPr>
        <w:t xml:space="preserve">Взаимодействие Росреестра и нотариата направлено на защиту прав и интересов граждан.</w:t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Ежегодно 26 апреля в России отмечается День нотариата.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2026 год для нашей страны особенный – 14 апреля системе российского нотариата исполнилось</w:t>
      </w:r>
      <w:r>
        <w:rPr>
          <w:b w:val="0"/>
          <w:bCs w:val="0"/>
          <w:highlight w:val="none"/>
        </w:rPr>
        <w:t xml:space="preserve"> 160 лет.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Нотариусы активно взаимодействуют с Росреестром и Роскадстром, способствуя исполнению важной функции в сфере оборота недвижимости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-  защиту прав и законных интересов граждан и организаций.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Тесное сотрудничество позволило сократить сроки регистрации прав п</w:t>
      </w:r>
      <w:r>
        <w:rPr>
          <w:b w:val="0"/>
          <w:bCs w:val="0"/>
          <w:highlight w:val="none"/>
        </w:rPr>
        <w:t xml:space="preserve">о нотариально удостоверенным сделкам, сохраняя правовую безопасность их участников, делая услугу по оформлению недвижимости максимально комфортной.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«В последние годы доля обращений нотариусов о регистрации сделок с недвижимым имуществом увеличивается и сегодня составляет больше 15% от общего числа обращений за оформлением сделок в регионе,</w:t>
      </w:r>
      <w:r>
        <w:rPr>
          <w:b w:val="0"/>
          <w:bCs w:val="0"/>
          <w:highlight w:val="none"/>
        </w:rPr>
        <w:t xml:space="preserve"> – сообщила заместитель руководителя Управления Росреестра по Новосибирской области</w:t>
      </w:r>
      <w:r>
        <w:rPr>
          <w:b w:val="0"/>
          <w:bCs w:val="0"/>
          <w:highlight w:val="none"/>
        </w:rPr>
        <w:t xml:space="preserve"> Наталья Ивчатова.</w:t>
      </w:r>
      <w:r>
        <w:rPr>
          <w:b w:val="0"/>
          <w:bCs w:val="0"/>
          <w:highlight w:val="none"/>
        </w:rPr>
        <w:t xml:space="preserve"> – </w:t>
      </w:r>
      <w:r>
        <w:rPr>
          <w:b w:val="0"/>
          <w:bCs w:val="0"/>
          <w:highlight w:val="none"/>
        </w:rPr>
        <w:t xml:space="preserve">Документы нотариусы предоставляют в Росреестр в электронном виде, срок регистрации таких сделок в среднем составляет несколько часов».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  <w:t xml:space="preserve">Обращение к нотариусу является законным и надежным способом получения сведения ЕГРН, в том числе персональные данные правообладателя.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Напомним, только ограниченный круг лиц имеют доступ к персональным данным собственника (ФИО, дата рождения). Если заявите</w:t>
      </w:r>
      <w:r>
        <w:rPr>
          <w:b w:val="0"/>
          <w:bCs w:val="0"/>
          <w:highlight w:val="none"/>
        </w:rPr>
        <w:t xml:space="preserve">лю в целях защиты своих прав и законных интересов необходимы такие сведения, нотариус может предоставить информацию при наличии веских и документально подтвержденных оснований.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Одной из причин для предоставления нотариусом выписки может стать проверка про</w:t>
      </w:r>
      <w:r>
        <w:rPr>
          <w:b w:val="0"/>
          <w:bCs w:val="0"/>
          <w:highlight w:val="none"/>
        </w:rPr>
        <w:t xml:space="preserve">давца объекта недвижимости. Документальным подтверждением может послужить предварительный договор купли-продажи или соглашение о задатке. Если покупатель и продавец обратятся к нотариусу с совместным заявлением, эти документы не нужны.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При нотариальном оф</w:t>
      </w:r>
      <w:r>
        <w:rPr>
          <w:b w:val="0"/>
          <w:bCs w:val="0"/>
          <w:highlight w:val="none"/>
        </w:rPr>
        <w:t xml:space="preserve">ормлении сделки отдельно заказывать выписку из ЕГРН не требуется. Нотариус в рамках своих полномочий запросит сведения о продавце, проверит историю переходов прав, убедится в отсутствии обременений и ограничений.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Росреестр продолжает развивать механизмы в</w:t>
      </w:r>
      <w:r>
        <w:rPr>
          <w:b w:val="0"/>
          <w:bCs w:val="0"/>
          <w:highlight w:val="none"/>
        </w:rPr>
        <w:t xml:space="preserve">заимодействия с нотариальным сообществом, совместное обсуждение проблемных вопросов дает возможность формировать единую правоприменительную практику.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contextualSpacing/>
        <w:ind w:left="0" w:right="0" w:firstLine="709"/>
        <w:spacing w:after="180"/>
        <w:shd w:val="clear" w:color="ffffff" w:fill="ffffff"/>
        <w:rPr>
          <w:b w:val="0"/>
          <w:bCs w:val="0"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 w:val="0"/>
          <w:bCs w:val="0"/>
          <w:highlight w:val="none"/>
        </w:rPr>
        <w:t xml:space="preserve">Поздравляем всех представителей нотариального сообщества с профессиональным праздником! Желаем профессион</w:t>
      </w:r>
      <w:r>
        <w:rPr>
          <w:b w:val="0"/>
          <w:bCs w:val="0"/>
          <w:highlight w:val="none"/>
        </w:rPr>
        <w:t xml:space="preserve">альных достижений, здоровья и благополучия! </w:t>
      </w:r>
      <w:r>
        <w:rPr>
          <w:b w:val="0"/>
          <w:bCs w:val="0"/>
          <w:highlight w:val="none"/>
          <w14:ligatures w14:val="none"/>
        </w:rPr>
      </w:r>
      <w:r>
        <w:rPr>
          <w:b w:val="0"/>
          <w:bCs w:val="0"/>
          <w:highlight w:val="none"/>
          <w14:ligatures w14:val="none"/>
        </w:rPr>
      </w:r>
    </w:p>
    <w:p>
      <w:pPr>
        <w:jc w:val="both"/>
        <w:rPr>
          <w:b/>
          <w:bCs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14:ligatures w14:val="none"/>
        </w:rPr>
      </w:r>
      <w:r>
        <w:rPr>
          <w:b/>
          <w:bCs/>
          <w14:ligatures w14:val="none"/>
        </w:rPr>
      </w:r>
      <w:r>
        <w:rPr>
          <w:b/>
          <w:bCs/>
          <w14:ligatures w14:val="none"/>
        </w:rPr>
      </w:r>
    </w:p>
    <w:sectPr>
      <w:footnotePr/>
      <w:endnotePr/>
      <w:type w:val="nextPage"/>
      <w:pgSz w:w="11906" w:h="16838" w:orient="portrait"/>
      <w:pgMar w:top="1134" w:right="850" w:bottom="1134" w:left="1701" w:header="708" w:footer="708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10000000000000000"/>
  </w:font>
  <w:font w:name="Courier New">
    <w:panose1 w:val="02070409020205020404"/>
  </w:font>
  <w:font w:name="Symbol">
    <w:panose1 w:val="05010000000000000000"/>
  </w:font>
  <w:font w:name="Calibri Light">
    <w:panose1 w:val="020F0502020204030204"/>
  </w:font>
  <w:font w:name="Tahoma">
    <w:panose1 w:val="020B0604030504040204"/>
  </w:font>
  <w:font w:name="Calibri">
    <w:panose1 w:val="020F0502020204030204"/>
  </w:font>
  <w:font w:name="Times New Roman">
    <w:panose1 w:val="02020603050405020304"/>
  </w:font>
  <w:font w:name="Arial">
    <w:panose1 w:val="020B06040202020202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021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95"/>
      <w:jc w:val="center"/>
      <w:rPr>
        <w:color w:val="auto"/>
        <w:highlight w:val="none"/>
      </w:rPr>
    </w:pPr>
    <w:fldSimple w:instr="PAGE \* MERGEFORMAT">
      <w:r>
        <w:rPr>
          <w:color w:val="auto"/>
        </w:rPr>
        <w:t xml:space="preserve">1</w:t>
      </w:r>
    </w:fldSimple>
    <w:r>
      <w:rPr>
        <w:color w:val="auto"/>
      </w:rPr>
    </w:r>
    <w:r>
      <w:rPr>
        <w:color w:val="auto"/>
        <w:highlight w:val="none"/>
      </w:rPr>
    </w:r>
    <w:r>
      <w:rPr>
        <w:color w:val="auto"/>
        <w:highlight w:val="none"/>
      </w:rPr>
    </w:r>
  </w:p>
  <w:p>
    <w:pPr>
      <w:pStyle w:val="995"/>
      <w:jc w:val="center"/>
    </w:pPr>
    <w:r>
      <w:rPr>
        <w:color w:val="auto"/>
        <w:highlight w:val="none"/>
      </w:rPr>
    </w:r>
    <w:r>
      <w:rPr>
        <w:color w:val="auto"/>
        <w:highlight w:val="none"/>
      </w:rPr>
    </w:r>
    <w:r/>
  </w:p>
  <w:p>
    <w:pPr>
      <w:pStyle w:val="995"/>
    </w:pPr>
    <w:r/>
    <w:r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95"/>
      <w:jc w:val="center"/>
      <w:rPr>
        <w:color w:val="ffffff" w:themeColor="background1"/>
      </w:rPr>
    </w:pPr>
    <w:fldSimple w:instr="PAGE \* MERGEFORMAT">
      <w:r>
        <w:rPr>
          <w:color w:val="ffffff" w:themeColor="background1"/>
        </w:rPr>
        <w:t xml:space="preserve">1</w:t>
      </w:r>
    </w:fldSimple>
    <w:r>
      <w:rPr>
        <w:color w:val="ffffff" w:themeColor="background1"/>
      </w:rPr>
    </w:r>
    <w:r>
      <w:rPr>
        <w:color w:val="ffffff" w:themeColor="background1"/>
      </w:rPr>
    </w:r>
    <w:r>
      <w:rPr>
        <w:color w:val="ffffff" w:themeColor="background1"/>
      </w:rPr>
    </w:r>
  </w:p>
  <w:p>
    <w:pPr>
      <w:pStyle w:val="995"/>
    </w:pPr>
    <w:r/>
    <w:r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2"/>
      <w:numFmt w:val="decimal"/>
      <w:isLgl w:val="false"/>
      <w:suff w:val="tab"/>
      <w:lvlText w:val="%1."/>
      <w:lvlJc w:val="left"/>
      <w:pPr>
        <w:ind w:left="1083" w:hanging="37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"/>
      <w:lvlJc w:val="left"/>
      <w:pPr>
        <w:ind w:left="1440" w:hanging="360"/>
        <w:tabs>
          <w:tab w:val="num" w:pos="1440" w:leader="none"/>
        </w:tabs>
      </w:pPr>
      <w:rPr>
        <w:rFonts w:hint="default" w:ascii="Symbol" w:hAnsi="Symbol"/>
        <w:sz w:val="20"/>
      </w:rPr>
    </w:lvl>
    <w:lvl w:ilvl="2">
      <w:start w:val="1"/>
      <w:numFmt w:val="bullet"/>
      <w:isLgl w:val="false"/>
      <w:suff w:val="tab"/>
      <w:lvlText w:val=""/>
      <w:lvlJc w:val="left"/>
      <w:pPr>
        <w:ind w:left="2160" w:hanging="360"/>
        <w:tabs>
          <w:tab w:val="num" w:pos="2160" w:leader="none"/>
        </w:tabs>
      </w:pPr>
      <w:rPr>
        <w:rFonts w:hint="default" w:ascii="Symbol" w:hAnsi="Symbol"/>
        <w:sz w:val="20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  <w:sz w:val="20"/>
      </w:rPr>
    </w:lvl>
    <w:lvl w:ilvl="4">
      <w:start w:val="1"/>
      <w:numFmt w:val="bullet"/>
      <w:isLgl w:val="false"/>
      <w:suff w:val="tab"/>
      <w:lvlText w:val=""/>
      <w:lvlJc w:val="left"/>
      <w:pPr>
        <w:ind w:left="3600" w:hanging="360"/>
        <w:tabs>
          <w:tab w:val="num" w:pos="3600" w:leader="none"/>
        </w:tabs>
      </w:pPr>
      <w:rPr>
        <w:rFonts w:hint="default" w:ascii="Symbol" w:hAnsi="Symbol"/>
        <w:sz w:val="20"/>
      </w:rPr>
    </w:lvl>
    <w:lvl w:ilvl="5">
      <w:start w:val="1"/>
      <w:numFmt w:val="bullet"/>
      <w:isLgl w:val="false"/>
      <w:suff w:val="tab"/>
      <w:lvlText w:val=""/>
      <w:lvlJc w:val="left"/>
      <w:pPr>
        <w:ind w:left="4320" w:hanging="360"/>
        <w:tabs>
          <w:tab w:val="num" w:pos="4320" w:leader="none"/>
        </w:tabs>
      </w:pPr>
      <w:rPr>
        <w:rFonts w:hint="default" w:ascii="Symbol" w:hAnsi="Symbol"/>
        <w:sz w:val="20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  <w:sz w:val="20"/>
      </w:rPr>
    </w:lvl>
    <w:lvl w:ilvl="7">
      <w:start w:val="1"/>
      <w:numFmt w:val="bullet"/>
      <w:isLgl w:val="false"/>
      <w:suff w:val="tab"/>
      <w:lvlText w:val=""/>
      <w:lvlJc w:val="left"/>
      <w:pPr>
        <w:ind w:left="5760" w:hanging="360"/>
        <w:tabs>
          <w:tab w:val="num" w:pos="5760" w:leader="none"/>
        </w:tabs>
      </w:pPr>
      <w:rPr>
        <w:rFonts w:hint="default" w:ascii="Symbol" w:hAnsi="Symbol"/>
        <w:sz w:val="20"/>
      </w:rPr>
    </w:lvl>
    <w:lvl w:ilvl="8">
      <w:start w:val="1"/>
      <w:numFmt w:val="bullet"/>
      <w:isLgl w:val="false"/>
      <w:suff w:val="tab"/>
      <w:lvlText w:val=""/>
      <w:lvlJc w:val="left"/>
      <w:pPr>
        <w:ind w:left="6480" w:hanging="360"/>
        <w:tabs>
          <w:tab w:val="num" w:pos="6480" w:leader="none"/>
        </w:tabs>
      </w:pPr>
      <w:rPr>
        <w:rFonts w:hint="default" w:ascii="Symbol" w:hAnsi="Symbol"/>
        <w:sz w:val="20"/>
      </w:rPr>
    </w:lvl>
  </w:abstractNum>
  <w:abstractNum w:abstractNumId="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abstractNum w:abstractNumId="4">
    <w:multiLevelType w:val="hybridMultilevel"/>
    <w:lvl w:ilvl="0">
      <w:start w:val="10"/>
      <w:numFmt w:val="decimal"/>
      <w:isLgl w:val="false"/>
      <w:suff w:val="tab"/>
      <w:lvlText w:val="%1."/>
      <w:lvlJc w:val="left"/>
      <w:pPr>
        <w:ind w:left="1083" w:hanging="37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4" w:hanging="46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"/>
      <w:lvlJc w:val="left"/>
      <w:pPr>
        <w:ind w:left="1440" w:hanging="360"/>
        <w:tabs>
          <w:tab w:val="num" w:pos="1440" w:leader="none"/>
        </w:tabs>
      </w:pPr>
      <w:rPr>
        <w:rFonts w:hint="default" w:ascii="Symbol" w:hAnsi="Symbol"/>
        <w:sz w:val="20"/>
      </w:rPr>
    </w:lvl>
    <w:lvl w:ilvl="2">
      <w:start w:val="1"/>
      <w:numFmt w:val="bullet"/>
      <w:isLgl w:val="false"/>
      <w:suff w:val="tab"/>
      <w:lvlText w:val=""/>
      <w:lvlJc w:val="left"/>
      <w:pPr>
        <w:ind w:left="2160" w:hanging="360"/>
        <w:tabs>
          <w:tab w:val="num" w:pos="2160" w:leader="none"/>
        </w:tabs>
      </w:pPr>
      <w:rPr>
        <w:rFonts w:hint="default" w:ascii="Symbol" w:hAnsi="Symbol"/>
        <w:sz w:val="20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  <w:sz w:val="20"/>
      </w:rPr>
    </w:lvl>
    <w:lvl w:ilvl="4">
      <w:start w:val="1"/>
      <w:numFmt w:val="bullet"/>
      <w:isLgl w:val="false"/>
      <w:suff w:val="tab"/>
      <w:lvlText w:val=""/>
      <w:lvlJc w:val="left"/>
      <w:pPr>
        <w:ind w:left="3600" w:hanging="360"/>
        <w:tabs>
          <w:tab w:val="num" w:pos="3600" w:leader="none"/>
        </w:tabs>
      </w:pPr>
      <w:rPr>
        <w:rFonts w:hint="default" w:ascii="Symbol" w:hAnsi="Symbol"/>
        <w:sz w:val="20"/>
      </w:rPr>
    </w:lvl>
    <w:lvl w:ilvl="5">
      <w:start w:val="1"/>
      <w:numFmt w:val="bullet"/>
      <w:isLgl w:val="false"/>
      <w:suff w:val="tab"/>
      <w:lvlText w:val=""/>
      <w:lvlJc w:val="left"/>
      <w:pPr>
        <w:ind w:left="4320" w:hanging="360"/>
        <w:tabs>
          <w:tab w:val="num" w:pos="4320" w:leader="none"/>
        </w:tabs>
      </w:pPr>
      <w:rPr>
        <w:rFonts w:hint="default" w:ascii="Symbol" w:hAnsi="Symbol"/>
        <w:sz w:val="20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  <w:sz w:val="20"/>
      </w:rPr>
    </w:lvl>
    <w:lvl w:ilvl="7">
      <w:start w:val="1"/>
      <w:numFmt w:val="bullet"/>
      <w:isLgl w:val="false"/>
      <w:suff w:val="tab"/>
      <w:lvlText w:val=""/>
      <w:lvlJc w:val="left"/>
      <w:pPr>
        <w:ind w:left="5760" w:hanging="360"/>
        <w:tabs>
          <w:tab w:val="num" w:pos="5760" w:leader="none"/>
        </w:tabs>
      </w:pPr>
      <w:rPr>
        <w:rFonts w:hint="default" w:ascii="Symbol" w:hAnsi="Symbol"/>
        <w:sz w:val="20"/>
      </w:rPr>
    </w:lvl>
    <w:lvl w:ilvl="8">
      <w:start w:val="1"/>
      <w:numFmt w:val="bullet"/>
      <w:isLgl w:val="false"/>
      <w:suff w:val="tab"/>
      <w:lvlText w:val=""/>
      <w:lvlJc w:val="left"/>
      <w:pPr>
        <w:ind w:left="6480" w:hanging="360"/>
        <w:tabs>
          <w:tab w:val="num" w:pos="6480" w:leader="none"/>
        </w:tabs>
      </w:pPr>
      <w:rPr>
        <w:rFonts w:hint="default" w:ascii="Symbol" w:hAnsi="Symbol"/>
        <w:sz w:val="20"/>
      </w:rPr>
    </w:lvl>
  </w:abstractNum>
  <w:abstractNum w:abstractNumId="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8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44" w:hanging="435"/>
      </w:pPr>
      <w:rPr>
        <w:rFonts w:hint="default"/>
        <w:color w:val="auto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10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1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12">
    <w:multiLevelType w:val="hybridMultilevel"/>
    <w:lvl w:ilvl="0">
      <w:start w:val="7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1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15">
    <w:multiLevelType w:val="hybridMultilevel"/>
    <w:lvl w:ilvl="0">
      <w:start w:val="4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1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42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abstractNum w:abstractNumId="1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77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1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20">
    <w:multiLevelType w:val="hybridMultilevel"/>
    <w:lvl w:ilvl="0">
      <w:start w:val="19"/>
      <w:numFmt w:val="decimal"/>
      <w:isLgl w:val="false"/>
      <w:suff w:val="tab"/>
      <w:lvlText w:val="%1."/>
      <w:lvlJc w:val="left"/>
      <w:pPr>
        <w:ind w:left="1084" w:hanging="37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2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2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3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  <w:b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2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2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2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28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26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98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70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42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14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86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58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30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020" w:hanging="360"/>
      </w:pPr>
      <w:rPr>
        <w:rFonts w:hint="default" w:ascii="Wingdings" w:hAnsi="Wingdings"/>
      </w:rPr>
    </w:lvl>
  </w:abstractNum>
  <w:abstractNum w:abstractNumId="2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3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 w:eastAsia="Times New Roman"/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3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3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  <w:b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3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77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44" w:hanging="435"/>
      </w:pPr>
      <w:rPr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615" w:hanging="615"/>
      </w:pPr>
    </w:lvl>
    <w:lvl w:ilvl="1">
      <w:start w:val="1"/>
      <w:numFmt w:val="decimal"/>
      <w:isLgl w:val="false"/>
      <w:suff w:val="tab"/>
      <w:lvlText w:val="%2."/>
      <w:lvlJc w:val="left"/>
      <w:pPr>
        <w:ind w:left="1951" w:hanging="720"/>
      </w:pPr>
      <w:rPr>
        <w:rFonts w:ascii="Times New Roman" w:hAnsi="Times New Roman" w:eastAsia="Calibri" w:cs="Times New Roman"/>
      </w:rPr>
    </w:lvl>
    <w:lvl w:ilvl="2">
      <w:start w:val="1"/>
      <w:numFmt w:val="decimal"/>
      <w:isLgl w:val="false"/>
      <w:suff w:val="tab"/>
      <w:lvlText w:val="%1.%2.%3."/>
      <w:lvlJc w:val="left"/>
      <w:pPr>
        <w:ind w:left="3182" w:hanging="720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4773" w:hanging="1080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6004" w:hanging="1080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7595" w:hanging="1440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9186" w:hanging="180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0417" w:hanging="1800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2008" w:hanging="2160"/>
      </w:pPr>
    </w:lvl>
  </w:abstractNum>
  <w:abstractNum w:abstractNumId="39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637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abstractNum w:abstractNumId="4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41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2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3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4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5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6">
    <w:multiLevelType w:val="hybridMultilevel"/>
    <w:lvl w:ilvl="0">
      <w:start w:val="1"/>
      <w:numFmt w:val="bullet"/>
      <w:isLgl w:val="false"/>
      <w:suff w:val="tab"/>
      <w:lvlText w:val=""/>
      <w:lvlJc w:val="left"/>
      <w:pPr>
        <w:ind w:left="720" w:hanging="360"/>
        <w:tabs>
          <w:tab w:val="num" w:pos="720" w:leader="none"/>
        </w:tabs>
      </w:pPr>
      <w:rPr>
        <w:rFonts w:hint="default" w:ascii="Wingdings" w:hAnsi="Wingdings"/>
      </w:rPr>
    </w:lvl>
    <w:lvl w:ilvl="1">
      <w:start w:val="1"/>
      <w:numFmt w:val="bullet"/>
      <w:isLgl w:val="false"/>
      <w:suff w:val="tab"/>
      <w:lvlText w:val=""/>
      <w:lvlJc w:val="left"/>
      <w:pPr>
        <w:ind w:left="1440" w:hanging="360"/>
        <w:tabs>
          <w:tab w:val="num" w:pos="1440" w:leader="none"/>
        </w:tabs>
      </w:pPr>
      <w:rPr>
        <w:rFonts w:hint="default" w:ascii="Wingdings" w:hAnsi="Wingdings"/>
      </w:rPr>
    </w:lvl>
    <w:lvl w:ilvl="2">
      <w:start w:val="1"/>
      <w:numFmt w:val="bullet"/>
      <w:isLgl w:val="false"/>
      <w:suff w:val="tab"/>
      <w:lvlText w:val="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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</w:rPr>
    </w:lvl>
    <w:lvl w:ilvl="4">
      <w:start w:val="1"/>
      <w:numFmt w:val="bullet"/>
      <w:isLgl w:val="false"/>
      <w:suff w:val="tab"/>
      <w:lvlText w:val="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</w:rPr>
    </w:lvl>
    <w:lvl w:ilvl="5">
      <w:start w:val="1"/>
      <w:numFmt w:val="bullet"/>
      <w:isLgl w:val="false"/>
      <w:suff w:val="tab"/>
      <w:lvlText w:val="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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</w:rPr>
    </w:lvl>
    <w:lvl w:ilvl="7">
      <w:start w:val="1"/>
      <w:numFmt w:val="bullet"/>
      <w:isLgl w:val="false"/>
      <w:suff w:val="tab"/>
      <w:lvlText w:val="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</w:rPr>
    </w:lvl>
    <w:lvl w:ilvl="8">
      <w:start w:val="1"/>
      <w:numFmt w:val="bullet"/>
      <w:isLgl w:val="false"/>
      <w:suff w:val="tab"/>
      <w:lvlText w:val="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47">
    <w:multiLevelType w:val="hybridMultilevel"/>
    <w:lvl w:ilvl="0">
      <w:start w:val="1"/>
      <w:numFmt w:val="bullet"/>
      <w:isLgl w:val="false"/>
      <w:suff w:val="tab"/>
      <w:lvlText w:val=""/>
      <w:lvlJc w:val="left"/>
      <w:pPr>
        <w:ind w:left="720" w:hanging="360"/>
        <w:tabs>
          <w:tab w:val="num" w:pos="720" w:leader="none"/>
        </w:tabs>
      </w:pPr>
      <w:rPr>
        <w:rFonts w:hint="default" w:ascii="Wingdings" w:hAnsi="Wingdings"/>
      </w:rPr>
    </w:lvl>
    <w:lvl w:ilvl="1">
      <w:start w:val="1"/>
      <w:numFmt w:val="bullet"/>
      <w:isLgl w:val="false"/>
      <w:suff w:val="tab"/>
      <w:lvlText w:val=""/>
      <w:lvlJc w:val="left"/>
      <w:pPr>
        <w:ind w:left="1440" w:hanging="360"/>
        <w:tabs>
          <w:tab w:val="num" w:pos="1440" w:leader="none"/>
        </w:tabs>
      </w:pPr>
      <w:rPr>
        <w:rFonts w:hint="default" w:ascii="Wingdings" w:hAnsi="Wingdings"/>
      </w:rPr>
    </w:lvl>
    <w:lvl w:ilvl="2">
      <w:start w:val="1"/>
      <w:numFmt w:val="bullet"/>
      <w:isLgl w:val="false"/>
      <w:suff w:val="tab"/>
      <w:lvlText w:val="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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</w:rPr>
    </w:lvl>
    <w:lvl w:ilvl="4">
      <w:start w:val="1"/>
      <w:numFmt w:val="bullet"/>
      <w:isLgl w:val="false"/>
      <w:suff w:val="tab"/>
      <w:lvlText w:val="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</w:rPr>
    </w:lvl>
    <w:lvl w:ilvl="5">
      <w:start w:val="1"/>
      <w:numFmt w:val="bullet"/>
      <w:isLgl w:val="false"/>
      <w:suff w:val="tab"/>
      <w:lvlText w:val="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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</w:rPr>
    </w:lvl>
    <w:lvl w:ilvl="7">
      <w:start w:val="1"/>
      <w:numFmt w:val="bullet"/>
      <w:isLgl w:val="false"/>
      <w:suff w:val="tab"/>
      <w:lvlText w:val="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</w:rPr>
    </w:lvl>
    <w:lvl w:ilvl="8">
      <w:start w:val="1"/>
      <w:numFmt w:val="bullet"/>
      <w:isLgl w:val="false"/>
      <w:suff w:val="tab"/>
      <w:lvlText w:val="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48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9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0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1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2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3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4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5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num w:numId="1">
    <w:abstractNumId w:val="8"/>
  </w:num>
  <w:num w:numId="2">
    <w:abstractNumId w:val="26"/>
  </w:num>
  <w:num w:numId="3">
    <w:abstractNumId w:val="30"/>
  </w:num>
  <w:num w:numId="4">
    <w:abstractNumId w:val="16"/>
  </w:num>
  <w:num w:numId="5">
    <w:abstractNumId w:val="28"/>
  </w:num>
  <w:num w:numId="6">
    <w:abstractNumId w:val="21"/>
  </w:num>
  <w:num w:numId="7">
    <w:abstractNumId w:val="17"/>
  </w:num>
  <w:num w:numId="8">
    <w:abstractNumId w:val="14"/>
  </w:num>
  <w:num w:numId="9">
    <w:abstractNumId w:val="35"/>
  </w:num>
  <w:num w:numId="10">
    <w:abstractNumId w:val="19"/>
  </w:num>
  <w:num w:numId="11">
    <w:abstractNumId w:val="11"/>
  </w:num>
  <w:num w:numId="12">
    <w:abstractNumId w:val="33"/>
  </w:num>
  <w:num w:numId="13">
    <w:abstractNumId w:val="3"/>
  </w:num>
  <w:num w:numId="14">
    <w:abstractNumId w:val="1"/>
  </w:num>
  <w:num w:numId="15">
    <w:abstractNumId w:val="5"/>
  </w:num>
  <w:num w:numId="16">
    <w:abstractNumId w:val="12"/>
  </w:num>
  <w:num w:numId="17">
    <w:abstractNumId w:val="24"/>
  </w:num>
  <w:num w:numId="18">
    <w:abstractNumId w:val="25"/>
  </w:num>
  <w:num w:numId="19">
    <w:abstractNumId w:val="22"/>
  </w:num>
  <w:num w:numId="20">
    <w:abstractNumId w:val="20"/>
  </w:num>
  <w:num w:numId="21">
    <w:abstractNumId w:val="31"/>
  </w:num>
  <w:num w:numId="22">
    <w:abstractNumId w:val="32"/>
  </w:num>
  <w:num w:numId="23">
    <w:abstractNumId w:val="2"/>
  </w:num>
  <w:num w:numId="24">
    <w:abstractNumId w:val="10"/>
  </w:num>
  <w:num w:numId="25">
    <w:abstractNumId w:val="6"/>
  </w:num>
  <w:num w:numId="26">
    <w:abstractNumId w:val="13"/>
  </w:num>
  <w:num w:numId="27">
    <w:abstractNumId w:val="7"/>
  </w:num>
  <w:num w:numId="28">
    <w:abstractNumId w:val="23"/>
  </w:num>
  <w:num w:numId="29">
    <w:abstractNumId w:val="4"/>
  </w:num>
  <w:num w:numId="30">
    <w:abstractNumId w:val="34"/>
  </w:num>
  <w:num w:numId="31">
    <w:abstractNumId w:val="29"/>
  </w:num>
  <w:num w:numId="32">
    <w:abstractNumId w:val="27"/>
  </w:num>
  <w:num w:numId="33">
    <w:abstractNumId w:val="15"/>
  </w:num>
  <w:num w:numId="34">
    <w:abstractNumId w:val="9"/>
  </w:num>
  <w:num w:numId="35">
    <w:abstractNumId w:val="0"/>
  </w:num>
  <w:num w:numId="36">
    <w:abstractNumId w:val="18"/>
  </w:num>
  <w:num w:numId="37">
    <w:abstractNumId w:val="36"/>
  </w:num>
  <w:num w:numId="38">
    <w:abstractNumId w:val="37"/>
  </w:num>
  <w:num w:numId="39">
    <w:abstractNumId w:val="38"/>
  </w:num>
  <w:num w:numId="40">
    <w:abstractNumId w:val="39"/>
  </w:num>
  <w:num w:numId="41">
    <w:abstractNumId w:val="40"/>
  </w:num>
  <w:num w:numId="42">
    <w:abstractNumId w:val="41"/>
  </w:num>
  <w:num w:numId="43">
    <w:abstractNumId w:val="42"/>
  </w:num>
  <w:num w:numId="44">
    <w:abstractNumId w:val="43"/>
  </w:num>
  <w:num w:numId="45">
    <w:abstractNumId w:val="44"/>
  </w:num>
  <w:num w:numId="46">
    <w:abstractNumId w:val="45"/>
  </w:num>
  <w:num w:numId="47">
    <w:abstractNumId w:val="46"/>
  </w:num>
  <w:num w:numId="48">
    <w:abstractNumId w:val="47"/>
  </w:num>
  <w:num w:numId="49">
    <w:abstractNumId w:val="48"/>
  </w:num>
  <w:num w:numId="50">
    <w:abstractNumId w:val="49"/>
  </w:num>
  <w:num w:numId="51">
    <w:abstractNumId w:val="50"/>
  </w:num>
  <w:num w:numId="52">
    <w:abstractNumId w:val="51"/>
  </w:num>
  <w:num w:numId="53">
    <w:abstractNumId w:val="52"/>
  </w:num>
  <w:num w:numId="54">
    <w:abstractNumId w:val="53"/>
  </w:num>
  <w:num w:numId="55">
    <w:abstractNumId w:val="54"/>
  </w:num>
  <w:num w:numId="56">
    <w:abstractNumId w:val="5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817">
    <w:name w:val="Heading 1 Char"/>
    <w:basedOn w:val="988"/>
    <w:link w:val="985"/>
    <w:uiPriority w:val="9"/>
    <w:rPr>
      <w:rFonts w:ascii="Arial" w:hAnsi="Arial" w:eastAsia="Arial" w:cs="Arial"/>
      <w:sz w:val="40"/>
      <w:szCs w:val="40"/>
    </w:rPr>
  </w:style>
  <w:style w:type="character" w:styleId="818">
    <w:name w:val="Heading 2 Char"/>
    <w:basedOn w:val="988"/>
    <w:link w:val="986"/>
    <w:uiPriority w:val="9"/>
    <w:rPr>
      <w:rFonts w:ascii="Arial" w:hAnsi="Arial" w:eastAsia="Arial" w:cs="Arial"/>
      <w:sz w:val="34"/>
    </w:rPr>
  </w:style>
  <w:style w:type="character" w:styleId="819">
    <w:name w:val="Heading 3 Char"/>
    <w:basedOn w:val="988"/>
    <w:link w:val="987"/>
    <w:uiPriority w:val="9"/>
    <w:rPr>
      <w:rFonts w:ascii="Arial" w:hAnsi="Arial" w:eastAsia="Arial" w:cs="Arial"/>
      <w:sz w:val="30"/>
      <w:szCs w:val="30"/>
    </w:rPr>
  </w:style>
  <w:style w:type="paragraph" w:styleId="820">
    <w:name w:val="Heading 4"/>
    <w:basedOn w:val="984"/>
    <w:next w:val="984"/>
    <w:link w:val="821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821">
    <w:name w:val="Heading 4 Char"/>
    <w:basedOn w:val="988"/>
    <w:link w:val="820"/>
    <w:uiPriority w:val="9"/>
    <w:rPr>
      <w:rFonts w:ascii="Arial" w:hAnsi="Arial" w:eastAsia="Arial" w:cs="Arial"/>
      <w:b/>
      <w:bCs/>
      <w:sz w:val="26"/>
      <w:szCs w:val="26"/>
    </w:rPr>
  </w:style>
  <w:style w:type="paragraph" w:styleId="822">
    <w:name w:val="Heading 5"/>
    <w:basedOn w:val="984"/>
    <w:next w:val="984"/>
    <w:link w:val="823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823">
    <w:name w:val="Heading 5 Char"/>
    <w:basedOn w:val="988"/>
    <w:link w:val="822"/>
    <w:uiPriority w:val="9"/>
    <w:rPr>
      <w:rFonts w:ascii="Arial" w:hAnsi="Arial" w:eastAsia="Arial" w:cs="Arial"/>
      <w:b/>
      <w:bCs/>
      <w:sz w:val="24"/>
      <w:szCs w:val="24"/>
    </w:rPr>
  </w:style>
  <w:style w:type="paragraph" w:styleId="824">
    <w:name w:val="Heading 6"/>
    <w:basedOn w:val="984"/>
    <w:next w:val="984"/>
    <w:link w:val="825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825">
    <w:name w:val="Heading 6 Char"/>
    <w:basedOn w:val="988"/>
    <w:link w:val="824"/>
    <w:uiPriority w:val="9"/>
    <w:rPr>
      <w:rFonts w:ascii="Arial" w:hAnsi="Arial" w:eastAsia="Arial" w:cs="Arial"/>
      <w:b/>
      <w:bCs/>
      <w:sz w:val="22"/>
      <w:szCs w:val="22"/>
    </w:rPr>
  </w:style>
  <w:style w:type="paragraph" w:styleId="826">
    <w:name w:val="Heading 7"/>
    <w:basedOn w:val="984"/>
    <w:next w:val="984"/>
    <w:link w:val="827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827">
    <w:name w:val="Heading 7 Char"/>
    <w:basedOn w:val="988"/>
    <w:link w:val="826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828">
    <w:name w:val="Heading 8"/>
    <w:basedOn w:val="984"/>
    <w:next w:val="984"/>
    <w:link w:val="829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829">
    <w:name w:val="Heading 8 Char"/>
    <w:basedOn w:val="988"/>
    <w:link w:val="828"/>
    <w:uiPriority w:val="9"/>
    <w:rPr>
      <w:rFonts w:ascii="Arial" w:hAnsi="Arial" w:eastAsia="Arial" w:cs="Arial"/>
      <w:i/>
      <w:iCs/>
      <w:sz w:val="22"/>
      <w:szCs w:val="22"/>
    </w:rPr>
  </w:style>
  <w:style w:type="paragraph" w:styleId="830">
    <w:name w:val="Heading 9"/>
    <w:basedOn w:val="984"/>
    <w:next w:val="984"/>
    <w:link w:val="831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831">
    <w:name w:val="Heading 9 Char"/>
    <w:basedOn w:val="988"/>
    <w:link w:val="830"/>
    <w:uiPriority w:val="9"/>
    <w:rPr>
      <w:rFonts w:ascii="Arial" w:hAnsi="Arial" w:eastAsia="Arial" w:cs="Arial"/>
      <w:i/>
      <w:iCs/>
      <w:sz w:val="21"/>
      <w:szCs w:val="21"/>
    </w:rPr>
  </w:style>
  <w:style w:type="paragraph" w:styleId="832">
    <w:name w:val="Title"/>
    <w:basedOn w:val="984"/>
    <w:next w:val="984"/>
    <w:link w:val="833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833">
    <w:name w:val="Title Char"/>
    <w:basedOn w:val="988"/>
    <w:link w:val="832"/>
    <w:uiPriority w:val="10"/>
    <w:rPr>
      <w:sz w:val="48"/>
      <w:szCs w:val="48"/>
    </w:rPr>
  </w:style>
  <w:style w:type="paragraph" w:styleId="834">
    <w:name w:val="Subtitle"/>
    <w:basedOn w:val="984"/>
    <w:next w:val="984"/>
    <w:link w:val="835"/>
    <w:uiPriority w:val="11"/>
    <w:qFormat/>
    <w:pPr>
      <w:spacing w:before="200" w:after="200"/>
    </w:pPr>
    <w:rPr>
      <w:sz w:val="24"/>
      <w:szCs w:val="24"/>
    </w:rPr>
  </w:style>
  <w:style w:type="character" w:styleId="835">
    <w:name w:val="Subtitle Char"/>
    <w:basedOn w:val="988"/>
    <w:link w:val="834"/>
    <w:uiPriority w:val="11"/>
    <w:rPr>
      <w:sz w:val="24"/>
      <w:szCs w:val="24"/>
    </w:rPr>
  </w:style>
  <w:style w:type="paragraph" w:styleId="836">
    <w:name w:val="Quote"/>
    <w:basedOn w:val="984"/>
    <w:next w:val="984"/>
    <w:link w:val="837"/>
    <w:uiPriority w:val="29"/>
    <w:qFormat/>
    <w:pPr>
      <w:ind w:left="720" w:right="720"/>
    </w:pPr>
    <w:rPr>
      <w:i/>
    </w:rPr>
  </w:style>
  <w:style w:type="character" w:styleId="837">
    <w:name w:val="Quote Char"/>
    <w:link w:val="836"/>
    <w:uiPriority w:val="29"/>
    <w:rPr>
      <w:i/>
    </w:rPr>
  </w:style>
  <w:style w:type="paragraph" w:styleId="838">
    <w:name w:val="Intense Quote"/>
    <w:basedOn w:val="984"/>
    <w:next w:val="984"/>
    <w:link w:val="839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839">
    <w:name w:val="Intense Quote Char"/>
    <w:link w:val="838"/>
    <w:uiPriority w:val="30"/>
    <w:rPr>
      <w:i/>
    </w:rPr>
  </w:style>
  <w:style w:type="character" w:styleId="840">
    <w:name w:val="Header Char"/>
    <w:basedOn w:val="988"/>
    <w:link w:val="995"/>
    <w:uiPriority w:val="99"/>
  </w:style>
  <w:style w:type="character" w:styleId="841">
    <w:name w:val="Footer Char"/>
    <w:basedOn w:val="988"/>
    <w:link w:val="1021"/>
    <w:uiPriority w:val="99"/>
  </w:style>
  <w:style w:type="paragraph" w:styleId="842">
    <w:name w:val="Caption"/>
    <w:basedOn w:val="984"/>
    <w:next w:val="984"/>
    <w:link w:val="843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843">
    <w:name w:val="Caption Char"/>
    <w:basedOn w:val="842"/>
    <w:link w:val="1021"/>
    <w:uiPriority w:val="99"/>
  </w:style>
  <w:style w:type="table" w:styleId="844">
    <w:name w:val="Table Grid Light"/>
    <w:basedOn w:val="989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845">
    <w:name w:val="Plain Table 1"/>
    <w:basedOn w:val="989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846">
    <w:name w:val="Plain Table 2"/>
    <w:basedOn w:val="989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847">
    <w:name w:val="Plain Table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848">
    <w:name w:val="Plain Table 4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9">
    <w:name w:val="Plain Table 5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850">
    <w:name w:val="Grid Table 1 Light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1">
    <w:name w:val="Grid Table 1 Light - Accent 1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2">
    <w:name w:val="Grid Table 1 Light - Accent 2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3">
    <w:name w:val="Grid Table 1 Light - Accent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4">
    <w:name w:val="Grid Table 1 Light - Accent 4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5">
    <w:name w:val="Grid Table 1 Light - Accent 5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6">
    <w:name w:val="Grid Table 1 Light - Accent 6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7">
    <w:name w:val="Grid Table 2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8">
    <w:name w:val="Grid Table 2 - Accent 1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9">
    <w:name w:val="Grid Table 2 - Accent 2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0">
    <w:name w:val="Grid Table 2 - Accent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1">
    <w:name w:val="Grid Table 2 - Accent 4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2">
    <w:name w:val="Grid Table 2 - Accent 5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3">
    <w:name w:val="Grid Table 2 - Accent 6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4">
    <w:name w:val="Grid Table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5">
    <w:name w:val="Grid Table 3 - Accent 1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6">
    <w:name w:val="Grid Table 3 - Accent 2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7">
    <w:name w:val="Grid Table 3 - Accent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8">
    <w:name w:val="Grid Table 3 - Accent 4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9">
    <w:name w:val="Grid Table 3 - Accent 5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0">
    <w:name w:val="Grid Table 3 - Accent 6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1">
    <w:name w:val="Grid Table 4"/>
    <w:basedOn w:val="98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872">
    <w:name w:val="Grid Table 4 - Accent 1"/>
    <w:basedOn w:val="98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873">
    <w:name w:val="Grid Table 4 - Accent 2"/>
    <w:basedOn w:val="98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874">
    <w:name w:val="Grid Table 4 - Accent 3"/>
    <w:basedOn w:val="98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75">
    <w:name w:val="Grid Table 4 - Accent 4"/>
    <w:basedOn w:val="98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76">
    <w:name w:val="Grid Table 4 - Accent 5"/>
    <w:basedOn w:val="98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77">
    <w:name w:val="Grid Table 4 - Accent 6"/>
    <w:basedOn w:val="98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78">
    <w:name w:val="Grid Table 5 Dark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79">
    <w:name w:val="Grid Table 5 Dark- Accent 1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80">
    <w:name w:val="Grid Table 5 Dark - Accent 2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81">
    <w:name w:val="Grid Table 5 Dark - Accent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82">
    <w:name w:val="Grid Table 5 Dark- Accent 4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83">
    <w:name w:val="Grid Table 5 Dark - Accent 5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884">
    <w:name w:val="Grid Table 5 Dark - Accent 6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885">
    <w:name w:val="Grid Table 6 Colorful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886">
    <w:name w:val="Grid Table 6 Colorful - Accent 1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887">
    <w:name w:val="Grid Table 6 Colorful - Accent 2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888">
    <w:name w:val="Grid Table 6 Colorful - Accent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889">
    <w:name w:val="Grid Table 6 Colorful - Accent 4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890">
    <w:name w:val="Grid Table 6 Colorful - Accent 5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891">
    <w:name w:val="Grid Table 6 Colorful - Accent 6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892">
    <w:name w:val="Grid Table 7 Colorful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3">
    <w:name w:val="Grid Table 7 Colorful - Accent 1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4">
    <w:name w:val="Grid Table 7 Colorful - Accent 2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5">
    <w:name w:val="Grid Table 7 Colorful - Accent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6">
    <w:name w:val="Grid Table 7 Colorful - Accent 4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7">
    <w:name w:val="Grid Table 7 Colorful - Accent 5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8">
    <w:name w:val="Grid Table 7 Colorful - Accent 6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9">
    <w:name w:val="List Table 1 Light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00">
    <w:name w:val="List Table 1 Light - Accent 1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01">
    <w:name w:val="List Table 1 Light - Accent 2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02">
    <w:name w:val="List Table 1 Light - Accent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03">
    <w:name w:val="List Table 1 Light - Accent 4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04">
    <w:name w:val="List Table 1 Light - Accent 5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05">
    <w:name w:val="List Table 1 Light - Accent 6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06">
    <w:name w:val="List Table 2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907">
    <w:name w:val="List Table 2 - Accent 1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908">
    <w:name w:val="List Table 2 - Accent 2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909">
    <w:name w:val="List Table 2 - Accent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910">
    <w:name w:val="List Table 2 - Accent 4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911">
    <w:name w:val="List Table 2 - Accent 5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912">
    <w:name w:val="List Table 2 - Accent 6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913">
    <w:name w:val="List Table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14">
    <w:name w:val="List Table 3 - Accent 1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15">
    <w:name w:val="List Table 3 - Accent 2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16">
    <w:name w:val="List Table 3 - Accent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17">
    <w:name w:val="List Table 3 - Accent 4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18">
    <w:name w:val="List Table 3 - Accent 5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19">
    <w:name w:val="List Table 3 - Accent 6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20">
    <w:name w:val="List Table 4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21">
    <w:name w:val="List Table 4 - Accent 1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22">
    <w:name w:val="List Table 4 - Accent 2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23">
    <w:name w:val="List Table 4 - Accent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24">
    <w:name w:val="List Table 4 - Accent 4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25">
    <w:name w:val="List Table 4 - Accent 5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26">
    <w:name w:val="List Table 4 - Accent 6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27">
    <w:name w:val="List Table 5 Dark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28">
    <w:name w:val="List Table 5 Dark - Accent 1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29">
    <w:name w:val="List Table 5 Dark - Accent 2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30">
    <w:name w:val="List Table 5 Dark - Accent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31">
    <w:name w:val="List Table 5 Dark - Accent 4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32">
    <w:name w:val="List Table 5 Dark - Accent 5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33">
    <w:name w:val="List Table 5 Dark - Accent 6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34">
    <w:name w:val="List Table 6 Colorful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935">
    <w:name w:val="List Table 6 Colorful - Accent 1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936">
    <w:name w:val="List Table 6 Colorful - Accent 2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937">
    <w:name w:val="List Table 6 Colorful - Accent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938">
    <w:name w:val="List Table 6 Colorful - Accent 4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939">
    <w:name w:val="List Table 6 Colorful - Accent 5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940">
    <w:name w:val="List Table 6 Colorful - Accent 6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941">
    <w:name w:val="List Table 7 Colorful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942">
    <w:name w:val="List Table 7 Colorful - Accent 1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943">
    <w:name w:val="List Table 7 Colorful - Accent 2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944">
    <w:name w:val="List Table 7 Colorful - Accent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945">
    <w:name w:val="List Table 7 Colorful - Accent 4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946">
    <w:name w:val="List Table 7 Colorful - Accent 5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947">
    <w:name w:val="List Table 7 Colorful - Accent 6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948">
    <w:name w:val="Lined - Accent"/>
    <w:basedOn w:val="98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949">
    <w:name w:val="Lined - Accent 1"/>
    <w:basedOn w:val="98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950">
    <w:name w:val="Lined - Accent 2"/>
    <w:basedOn w:val="98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951">
    <w:name w:val="Lined - Accent 3"/>
    <w:basedOn w:val="98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952">
    <w:name w:val="Lined - Accent 4"/>
    <w:basedOn w:val="98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953">
    <w:name w:val="Lined - Accent 5"/>
    <w:basedOn w:val="98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954">
    <w:name w:val="Lined - Accent 6"/>
    <w:basedOn w:val="98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955">
    <w:name w:val="Bordered &amp; Lined - Accent"/>
    <w:basedOn w:val="98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956">
    <w:name w:val="Bordered &amp; Lined - Accent 1"/>
    <w:basedOn w:val="98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957">
    <w:name w:val="Bordered &amp; Lined - Accent 2"/>
    <w:basedOn w:val="98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958">
    <w:name w:val="Bordered &amp; Lined - Accent 3"/>
    <w:basedOn w:val="98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959">
    <w:name w:val="Bordered &amp; Lined - Accent 4"/>
    <w:basedOn w:val="98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960">
    <w:name w:val="Bordered &amp; Lined - Accent 5"/>
    <w:basedOn w:val="98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961">
    <w:name w:val="Bordered &amp; Lined - Accent 6"/>
    <w:basedOn w:val="98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962">
    <w:name w:val="Bordered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963">
    <w:name w:val="Bordered - Accent 1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964">
    <w:name w:val="Bordered - Accent 2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965">
    <w:name w:val="Bordered - Accent 3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966">
    <w:name w:val="Bordered - Accent 4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967">
    <w:name w:val="Bordered - Accent 5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968">
    <w:name w:val="Bordered - Accent 6"/>
    <w:basedOn w:val="98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969">
    <w:name w:val="Footnote Text Char"/>
    <w:link w:val="1002"/>
    <w:uiPriority w:val="99"/>
    <w:rPr>
      <w:sz w:val="18"/>
    </w:rPr>
  </w:style>
  <w:style w:type="paragraph" w:styleId="970">
    <w:name w:val="endnote text"/>
    <w:basedOn w:val="984"/>
    <w:link w:val="971"/>
    <w:uiPriority w:val="99"/>
    <w:semiHidden/>
    <w:unhideWhenUsed/>
    <w:pPr>
      <w:spacing w:after="0" w:line="240" w:lineRule="auto"/>
    </w:pPr>
    <w:rPr>
      <w:sz w:val="20"/>
    </w:rPr>
  </w:style>
  <w:style w:type="character" w:styleId="971">
    <w:name w:val="Endnote Text Char"/>
    <w:link w:val="970"/>
    <w:uiPriority w:val="99"/>
    <w:rPr>
      <w:sz w:val="20"/>
    </w:rPr>
  </w:style>
  <w:style w:type="character" w:styleId="972">
    <w:name w:val="endnote reference"/>
    <w:basedOn w:val="988"/>
    <w:uiPriority w:val="99"/>
    <w:semiHidden/>
    <w:unhideWhenUsed/>
    <w:rPr>
      <w:vertAlign w:val="superscript"/>
    </w:rPr>
  </w:style>
  <w:style w:type="paragraph" w:styleId="973">
    <w:name w:val="toc 1"/>
    <w:basedOn w:val="984"/>
    <w:next w:val="984"/>
    <w:uiPriority w:val="39"/>
    <w:unhideWhenUsed/>
    <w:pPr>
      <w:ind w:left="0" w:right="0" w:firstLine="0"/>
      <w:spacing w:after="57"/>
    </w:pPr>
  </w:style>
  <w:style w:type="paragraph" w:styleId="974">
    <w:name w:val="toc 2"/>
    <w:basedOn w:val="984"/>
    <w:next w:val="984"/>
    <w:uiPriority w:val="39"/>
    <w:unhideWhenUsed/>
    <w:pPr>
      <w:ind w:left="283" w:right="0" w:firstLine="0"/>
      <w:spacing w:after="57"/>
    </w:pPr>
  </w:style>
  <w:style w:type="paragraph" w:styleId="975">
    <w:name w:val="toc 3"/>
    <w:basedOn w:val="984"/>
    <w:next w:val="984"/>
    <w:uiPriority w:val="39"/>
    <w:unhideWhenUsed/>
    <w:pPr>
      <w:ind w:left="567" w:right="0" w:firstLine="0"/>
      <w:spacing w:after="57"/>
    </w:pPr>
  </w:style>
  <w:style w:type="paragraph" w:styleId="976">
    <w:name w:val="toc 4"/>
    <w:basedOn w:val="984"/>
    <w:next w:val="984"/>
    <w:uiPriority w:val="39"/>
    <w:unhideWhenUsed/>
    <w:pPr>
      <w:ind w:left="850" w:right="0" w:firstLine="0"/>
      <w:spacing w:after="57"/>
    </w:pPr>
  </w:style>
  <w:style w:type="paragraph" w:styleId="977">
    <w:name w:val="toc 5"/>
    <w:basedOn w:val="984"/>
    <w:next w:val="984"/>
    <w:uiPriority w:val="39"/>
    <w:unhideWhenUsed/>
    <w:pPr>
      <w:ind w:left="1134" w:right="0" w:firstLine="0"/>
      <w:spacing w:after="57"/>
    </w:pPr>
  </w:style>
  <w:style w:type="paragraph" w:styleId="978">
    <w:name w:val="toc 6"/>
    <w:basedOn w:val="984"/>
    <w:next w:val="984"/>
    <w:uiPriority w:val="39"/>
    <w:unhideWhenUsed/>
    <w:pPr>
      <w:ind w:left="1417" w:right="0" w:firstLine="0"/>
      <w:spacing w:after="57"/>
    </w:pPr>
  </w:style>
  <w:style w:type="paragraph" w:styleId="979">
    <w:name w:val="toc 7"/>
    <w:basedOn w:val="984"/>
    <w:next w:val="984"/>
    <w:uiPriority w:val="39"/>
    <w:unhideWhenUsed/>
    <w:pPr>
      <w:ind w:left="1701" w:right="0" w:firstLine="0"/>
      <w:spacing w:after="57"/>
    </w:pPr>
  </w:style>
  <w:style w:type="paragraph" w:styleId="980">
    <w:name w:val="toc 8"/>
    <w:basedOn w:val="984"/>
    <w:next w:val="984"/>
    <w:uiPriority w:val="39"/>
    <w:unhideWhenUsed/>
    <w:pPr>
      <w:ind w:left="1984" w:right="0" w:firstLine="0"/>
      <w:spacing w:after="57"/>
    </w:pPr>
  </w:style>
  <w:style w:type="paragraph" w:styleId="981">
    <w:name w:val="toc 9"/>
    <w:basedOn w:val="984"/>
    <w:next w:val="984"/>
    <w:uiPriority w:val="39"/>
    <w:unhideWhenUsed/>
    <w:pPr>
      <w:ind w:left="2268" w:right="0" w:firstLine="0"/>
      <w:spacing w:after="57"/>
    </w:pPr>
  </w:style>
  <w:style w:type="paragraph" w:styleId="982">
    <w:name w:val="TOC Heading"/>
    <w:uiPriority w:val="39"/>
    <w:unhideWhenUsed/>
  </w:style>
  <w:style w:type="paragraph" w:styleId="983">
    <w:name w:val="table of figures"/>
    <w:basedOn w:val="984"/>
    <w:next w:val="984"/>
    <w:uiPriority w:val="99"/>
    <w:unhideWhenUsed/>
    <w:pPr>
      <w:spacing w:after="0" w:afterAutospacing="0"/>
    </w:pPr>
  </w:style>
  <w:style w:type="paragraph" w:styleId="984" w:default="1">
    <w:name w:val="Normal"/>
    <w:qFormat/>
    <w:pPr>
      <w:contextualSpacing/>
      <w:ind w:firstLine="708"/>
      <w:jc w:val="both"/>
      <w:spacing w:line="240" w:lineRule="auto"/>
    </w:pPr>
    <w:rPr>
      <w:rFonts w:ascii="Times New Roman" w:hAnsi="Times New Roman" w:eastAsia="Calibri" w:cs="Times New Roman"/>
      <w:b/>
      <w:bCs/>
      <w:color w:val="000000"/>
      <w:sz w:val="28"/>
      <w:szCs w:val="28"/>
      <w:shd w:val="clear" w:color="ffffff" w:themeColor="background1" w:fill="ffffff" w:themeFill="background1"/>
    </w:rPr>
  </w:style>
  <w:style w:type="paragraph" w:styleId="985">
    <w:name w:val="Heading 1"/>
    <w:basedOn w:val="984"/>
    <w:link w:val="991"/>
    <w:uiPriority w:val="9"/>
    <w:qFormat/>
    <w:pPr>
      <w:spacing w:before="100" w:beforeAutospacing="1" w:after="100" w:afterAutospacing="1" w:line="240" w:lineRule="auto"/>
      <w:outlineLvl w:val="0"/>
    </w:pPr>
    <w:rPr>
      <w:rFonts w:ascii="Times New Roman" w:hAnsi="Times New Roman" w:eastAsia="Times New Roman" w:cs="Times New Roman"/>
      <w:b/>
      <w:bCs/>
      <w:sz w:val="48"/>
      <w:szCs w:val="48"/>
      <w:lang w:eastAsia="ru-RU"/>
    </w:rPr>
  </w:style>
  <w:style w:type="paragraph" w:styleId="986">
    <w:name w:val="Heading 2"/>
    <w:basedOn w:val="984"/>
    <w:next w:val="984"/>
    <w:link w:val="1008"/>
    <w:uiPriority w:val="9"/>
    <w:unhideWhenUsed/>
    <w:qFormat/>
    <w:pPr>
      <w:keepLines/>
      <w:keepNext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987">
    <w:name w:val="Heading 3"/>
    <w:basedOn w:val="984"/>
    <w:next w:val="984"/>
    <w:link w:val="1029"/>
    <w:uiPriority w:val="9"/>
    <w:semiHidden/>
    <w:unhideWhenUsed/>
    <w:qFormat/>
    <w:pPr>
      <w:keepLines/>
      <w:keepNext/>
      <w:spacing w:before="40" w:after="0"/>
      <w:outlineLvl w:val="2"/>
    </w:pPr>
    <w:rPr>
      <w:rFonts w:asciiTheme="majorHAnsi" w:hAnsiTheme="majorHAnsi" w:eastAsiaTheme="majorEastAsia" w:cstheme="majorBidi"/>
      <w:color w:val="243f60" w:themeColor="accent1" w:themeShade="7F"/>
      <w:sz w:val="24"/>
      <w:szCs w:val="24"/>
    </w:rPr>
  </w:style>
  <w:style w:type="character" w:styleId="988" w:default="1">
    <w:name w:val="Default Paragraph Font"/>
    <w:uiPriority w:val="1"/>
    <w:semiHidden/>
    <w:unhideWhenUsed/>
  </w:style>
  <w:style w:type="table" w:styleId="989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990" w:default="1">
    <w:name w:val="No List"/>
    <w:uiPriority w:val="99"/>
    <w:semiHidden/>
    <w:unhideWhenUsed/>
  </w:style>
  <w:style w:type="character" w:styleId="991" w:customStyle="1">
    <w:name w:val="Заголовок 1 Знак"/>
    <w:basedOn w:val="988"/>
    <w:link w:val="985"/>
    <w:uiPriority w:val="9"/>
    <w:rPr>
      <w:rFonts w:ascii="Times New Roman" w:hAnsi="Times New Roman" w:eastAsia="Times New Roman" w:cs="Times New Roman"/>
      <w:b/>
      <w:bCs/>
      <w:sz w:val="48"/>
      <w:szCs w:val="48"/>
      <w:lang w:eastAsia="ru-RU"/>
    </w:rPr>
  </w:style>
  <w:style w:type="paragraph" w:styleId="992" w:customStyle="1">
    <w:name w:val="ConsPlusNormal"/>
    <w:link w:val="993"/>
    <w:pPr>
      <w:ind w:firstLine="720"/>
      <w:spacing w:after="0" w:line="240" w:lineRule="auto"/>
      <w:widowControl w:val="off"/>
    </w:pPr>
    <w:rPr>
      <w:rFonts w:ascii="Arial" w:hAnsi="Arial" w:eastAsia="Times New Roman" w:cs="Arial"/>
      <w:sz w:val="20"/>
      <w:szCs w:val="20"/>
      <w:lang w:eastAsia="ru-RU"/>
    </w:rPr>
  </w:style>
  <w:style w:type="character" w:styleId="993" w:customStyle="1">
    <w:name w:val="ConsPlusNormal Знак"/>
    <w:basedOn w:val="988"/>
    <w:link w:val="992"/>
    <w:rPr>
      <w:rFonts w:ascii="Arial" w:hAnsi="Arial" w:eastAsia="Times New Roman" w:cs="Arial"/>
      <w:sz w:val="20"/>
      <w:szCs w:val="20"/>
      <w:lang w:eastAsia="ru-RU"/>
    </w:rPr>
  </w:style>
  <w:style w:type="character" w:styleId="994">
    <w:name w:val="Hyperlink"/>
    <w:basedOn w:val="988"/>
    <w:unhideWhenUsed/>
    <w:rPr>
      <w:color w:val="0000ff"/>
      <w:u w:val="single"/>
    </w:rPr>
  </w:style>
  <w:style w:type="paragraph" w:styleId="995">
    <w:name w:val="Header"/>
    <w:basedOn w:val="984"/>
    <w:link w:val="996"/>
    <w:uiPriority w:val="99"/>
    <w:pPr>
      <w:spacing w:after="0" w:line="240" w:lineRule="auto"/>
      <w:tabs>
        <w:tab w:val="center" w:pos="4677" w:leader="none"/>
        <w:tab w:val="right" w:pos="9355" w:leader="none"/>
      </w:tabs>
    </w:pPr>
    <w:rPr>
      <w:rFonts w:ascii="Times New Roman" w:hAnsi="Times New Roman" w:eastAsia="Calibri" w:cs="Times New Roman"/>
      <w:bCs/>
      <w:color w:val="000000"/>
      <w:sz w:val="24"/>
      <w:szCs w:val="24"/>
      <w:lang w:eastAsia="ru-RU"/>
    </w:rPr>
  </w:style>
  <w:style w:type="character" w:styleId="996" w:customStyle="1">
    <w:name w:val="Верхний колонтитул Знак"/>
    <w:basedOn w:val="988"/>
    <w:link w:val="995"/>
    <w:uiPriority w:val="99"/>
    <w:rPr>
      <w:rFonts w:ascii="Times New Roman" w:hAnsi="Times New Roman" w:eastAsia="Calibri" w:cs="Times New Roman"/>
      <w:bCs/>
      <w:color w:val="000000"/>
      <w:sz w:val="24"/>
      <w:szCs w:val="24"/>
      <w:lang w:eastAsia="ru-RU"/>
    </w:rPr>
  </w:style>
  <w:style w:type="character" w:styleId="997" w:customStyle="1">
    <w:name w:val="title1"/>
    <w:basedOn w:val="988"/>
  </w:style>
  <w:style w:type="paragraph" w:styleId="998">
    <w:name w:val="Balloon Text"/>
    <w:basedOn w:val="984"/>
    <w:link w:val="999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999" w:customStyle="1">
    <w:name w:val="Текст выноски Знак"/>
    <w:basedOn w:val="988"/>
    <w:link w:val="998"/>
    <w:uiPriority w:val="99"/>
    <w:semiHidden/>
    <w:rPr>
      <w:rFonts w:ascii="Tahoma" w:hAnsi="Tahoma" w:cs="Tahoma"/>
      <w:sz w:val="16"/>
      <w:szCs w:val="16"/>
    </w:rPr>
  </w:style>
  <w:style w:type="paragraph" w:styleId="1000">
    <w:name w:val="Normal (Web)"/>
    <w:basedOn w:val="984"/>
    <w:uiPriority w:val="99"/>
    <w:unhideWhenUsed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table" w:styleId="1001">
    <w:name w:val="Table Grid"/>
    <w:basedOn w:val="989"/>
    <w:uiPriority w:val="3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1002">
    <w:name w:val="footnote text"/>
    <w:basedOn w:val="984"/>
    <w:link w:val="1003"/>
    <w:uiPriority w:val="99"/>
    <w:unhideWhenUsed/>
    <w:pPr>
      <w:spacing w:after="0" w:line="240" w:lineRule="auto"/>
    </w:pPr>
    <w:rPr>
      <w:sz w:val="20"/>
      <w:szCs w:val="20"/>
    </w:rPr>
  </w:style>
  <w:style w:type="character" w:styleId="1003" w:customStyle="1">
    <w:name w:val="Текст сноски Знак"/>
    <w:basedOn w:val="988"/>
    <w:link w:val="1002"/>
    <w:uiPriority w:val="99"/>
    <w:rPr>
      <w:sz w:val="20"/>
      <w:szCs w:val="20"/>
    </w:rPr>
  </w:style>
  <w:style w:type="character" w:styleId="1004">
    <w:name w:val="footnote reference"/>
    <w:basedOn w:val="988"/>
    <w:uiPriority w:val="99"/>
    <w:unhideWhenUsed/>
    <w:rPr>
      <w:vertAlign w:val="superscript"/>
    </w:rPr>
  </w:style>
  <w:style w:type="paragraph" w:styleId="1005">
    <w:name w:val="List Paragraph"/>
    <w:basedOn w:val="984"/>
    <w:uiPriority w:val="34"/>
    <w:qFormat/>
    <w:pPr>
      <w:contextualSpacing/>
      <w:ind w:left="720"/>
      <w:spacing w:after="160" w:line="259" w:lineRule="auto"/>
    </w:pPr>
  </w:style>
  <w:style w:type="paragraph" w:styleId="1006">
    <w:name w:val="Body Text"/>
    <w:basedOn w:val="984"/>
    <w:link w:val="1007"/>
    <w:uiPriority w:val="1"/>
    <w:qFormat/>
    <w:pPr>
      <w:spacing w:after="0" w:line="240" w:lineRule="auto"/>
      <w:widowControl w:val="off"/>
    </w:pPr>
    <w:rPr>
      <w:rFonts w:ascii="Times New Roman" w:hAnsi="Times New Roman" w:eastAsia="Times New Roman" w:cs="Times New Roman"/>
      <w:sz w:val="28"/>
      <w:szCs w:val="28"/>
    </w:rPr>
  </w:style>
  <w:style w:type="character" w:styleId="1007" w:customStyle="1">
    <w:name w:val="Основной текст Знак"/>
    <w:basedOn w:val="988"/>
    <w:link w:val="1006"/>
    <w:uiPriority w:val="1"/>
    <w:rPr>
      <w:rFonts w:ascii="Times New Roman" w:hAnsi="Times New Roman" w:eastAsia="Times New Roman" w:cs="Times New Roman"/>
      <w:sz w:val="28"/>
      <w:szCs w:val="28"/>
    </w:rPr>
  </w:style>
  <w:style w:type="character" w:styleId="1008" w:customStyle="1">
    <w:name w:val="Заголовок 2 Знак"/>
    <w:basedOn w:val="988"/>
    <w:link w:val="986"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1009" w:customStyle="1">
    <w:name w:val="Абзац списка1"/>
    <w:basedOn w:val="984"/>
    <w:pPr>
      <w:contextualSpacing/>
      <w:ind w:left="720"/>
      <w:spacing w:after="0" w:line="240" w:lineRule="auto"/>
    </w:pPr>
    <w:rPr>
      <w:rFonts w:ascii="Times New Roman" w:hAnsi="Times New Roman" w:eastAsia="Calibri" w:cs="Times New Roman"/>
      <w:sz w:val="24"/>
      <w:szCs w:val="24"/>
      <w:lang w:eastAsia="ru-RU"/>
    </w:rPr>
  </w:style>
  <w:style w:type="character" w:styleId="1010">
    <w:name w:val="Strong"/>
    <w:basedOn w:val="988"/>
    <w:uiPriority w:val="22"/>
    <w:qFormat/>
    <w:rPr>
      <w:b/>
      <w:bCs/>
    </w:rPr>
  </w:style>
  <w:style w:type="character" w:styleId="1011" w:customStyle="1">
    <w:name w:val="news__arrowdesktop"/>
    <w:basedOn w:val="988"/>
  </w:style>
  <w:style w:type="paragraph" w:styleId="1012" w:customStyle="1">
    <w:name w:val="align_center"/>
    <w:basedOn w:val="984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1013" w:customStyle="1">
    <w:name w:val="no-indent"/>
    <w:basedOn w:val="984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1014">
    <w:name w:val="No Spacing"/>
    <w:link w:val="1027"/>
    <w:uiPriority w:val="1"/>
    <w:qFormat/>
    <w:pPr>
      <w:spacing w:after="0" w:line="240" w:lineRule="auto"/>
    </w:pPr>
  </w:style>
  <w:style w:type="character" w:styleId="1015" w:customStyle="1">
    <w:name w:val="Текст примечания Знак"/>
    <w:basedOn w:val="988"/>
    <w:link w:val="1016"/>
    <w:uiPriority w:val="99"/>
    <w:semiHidden/>
    <w:rPr>
      <w:sz w:val="20"/>
      <w:szCs w:val="20"/>
    </w:rPr>
  </w:style>
  <w:style w:type="paragraph" w:styleId="1016">
    <w:name w:val="annotation text"/>
    <w:basedOn w:val="984"/>
    <w:link w:val="1015"/>
    <w:uiPriority w:val="99"/>
    <w:semiHidden/>
    <w:unhideWhenUsed/>
    <w:pPr>
      <w:spacing w:after="160" w:line="240" w:lineRule="auto"/>
    </w:pPr>
    <w:rPr>
      <w:sz w:val="20"/>
      <w:szCs w:val="20"/>
    </w:rPr>
  </w:style>
  <w:style w:type="character" w:styleId="1017" w:customStyle="1">
    <w:name w:val="Текст примечания Знак1"/>
    <w:basedOn w:val="988"/>
    <w:uiPriority w:val="99"/>
    <w:semiHidden/>
    <w:rPr>
      <w:sz w:val="20"/>
      <w:szCs w:val="20"/>
    </w:rPr>
  </w:style>
  <w:style w:type="character" w:styleId="1018" w:customStyle="1">
    <w:name w:val="Тема примечания Знак"/>
    <w:basedOn w:val="1015"/>
    <w:link w:val="1019"/>
    <w:uiPriority w:val="99"/>
    <w:semiHidden/>
    <w:rPr>
      <w:b/>
      <w:bCs/>
      <w:sz w:val="20"/>
      <w:szCs w:val="20"/>
    </w:rPr>
  </w:style>
  <w:style w:type="paragraph" w:styleId="1019">
    <w:name w:val="annotation subject"/>
    <w:basedOn w:val="1016"/>
    <w:next w:val="1016"/>
    <w:link w:val="1018"/>
    <w:uiPriority w:val="99"/>
    <w:semiHidden/>
    <w:unhideWhenUsed/>
    <w:rPr>
      <w:b/>
      <w:bCs/>
    </w:rPr>
  </w:style>
  <w:style w:type="character" w:styleId="1020" w:customStyle="1">
    <w:name w:val="Тема примечания Знак1"/>
    <w:basedOn w:val="1017"/>
    <w:uiPriority w:val="99"/>
    <w:semiHidden/>
    <w:rPr>
      <w:b/>
      <w:bCs/>
      <w:sz w:val="20"/>
      <w:szCs w:val="20"/>
    </w:rPr>
  </w:style>
  <w:style w:type="paragraph" w:styleId="1021">
    <w:name w:val="Footer"/>
    <w:basedOn w:val="984"/>
    <w:link w:val="1022"/>
    <w:uiPriority w:val="99"/>
    <w:unhideWhenUsed/>
    <w:pPr>
      <w:spacing w:after="0" w:line="240" w:lineRule="auto"/>
      <w:tabs>
        <w:tab w:val="center" w:pos="4677" w:leader="none"/>
        <w:tab w:val="right" w:pos="9355" w:leader="none"/>
      </w:tabs>
    </w:pPr>
  </w:style>
  <w:style w:type="character" w:styleId="1022" w:customStyle="1">
    <w:name w:val="Нижний колонтитул Знак"/>
    <w:basedOn w:val="988"/>
    <w:link w:val="1021"/>
    <w:uiPriority w:val="99"/>
  </w:style>
  <w:style w:type="paragraph" w:styleId="1023" w:customStyle="1">
    <w:name w:val="Style4"/>
    <w:basedOn w:val="984"/>
    <w:uiPriority w:val="99"/>
    <w:pPr>
      <w:ind w:firstLine="845"/>
      <w:jc w:val="both"/>
      <w:spacing w:after="0" w:line="323" w:lineRule="exact"/>
      <w:widowControl w:val="off"/>
    </w:pPr>
    <w:rPr>
      <w:rFonts w:ascii="Times New Roman" w:hAnsi="Times New Roman" w:cs="Times New Roman" w:eastAsiaTheme="minorEastAsia"/>
      <w:sz w:val="24"/>
      <w:szCs w:val="24"/>
      <w:lang w:eastAsia="ru-RU"/>
    </w:rPr>
  </w:style>
  <w:style w:type="character" w:styleId="1024" w:customStyle="1">
    <w:name w:val="Font Style20"/>
    <w:basedOn w:val="988"/>
    <w:uiPriority w:val="99"/>
    <w:rPr>
      <w:rFonts w:ascii="Times New Roman" w:hAnsi="Times New Roman" w:cs="Times New Roman"/>
      <w:sz w:val="26"/>
      <w:szCs w:val="26"/>
    </w:rPr>
  </w:style>
  <w:style w:type="paragraph" w:styleId="1025" w:customStyle="1">
    <w:name w:val="Style8"/>
    <w:basedOn w:val="984"/>
    <w:uiPriority w:val="99"/>
    <w:pPr>
      <w:jc w:val="both"/>
      <w:spacing w:after="0" w:line="240" w:lineRule="auto"/>
      <w:widowControl w:val="off"/>
    </w:pPr>
    <w:rPr>
      <w:rFonts w:ascii="Times New Roman" w:hAnsi="Times New Roman" w:cs="Times New Roman" w:eastAsiaTheme="minorEastAsia"/>
      <w:sz w:val="24"/>
      <w:szCs w:val="24"/>
      <w:lang w:eastAsia="ru-RU"/>
    </w:rPr>
  </w:style>
  <w:style w:type="paragraph" w:styleId="1026" w:customStyle="1">
    <w:name w:val="ConsPlusTitle"/>
    <w:uiPriority w:val="99"/>
    <w:pPr>
      <w:spacing w:after="0" w:line="240" w:lineRule="auto"/>
      <w:widowControl w:val="off"/>
    </w:pPr>
    <w:rPr>
      <w:rFonts w:ascii="Arial" w:hAnsi="Arial" w:eastAsia="Times New Roman" w:cs="Arial"/>
      <w:b/>
      <w:bCs/>
      <w:sz w:val="20"/>
      <w:szCs w:val="20"/>
      <w:lang w:eastAsia="ru-RU"/>
    </w:rPr>
  </w:style>
  <w:style w:type="character" w:styleId="1027" w:customStyle="1">
    <w:name w:val="Без интервала Знак"/>
    <w:link w:val="1014"/>
    <w:uiPriority w:val="1"/>
  </w:style>
  <w:style w:type="paragraph" w:styleId="1028" w:customStyle="1">
    <w:name w:val="Style11"/>
    <w:basedOn w:val="984"/>
    <w:uiPriority w:val="99"/>
    <w:pPr>
      <w:jc w:val="both"/>
      <w:spacing w:after="0" w:line="371" w:lineRule="exact"/>
      <w:widowControl w:val="off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1029" w:customStyle="1">
    <w:name w:val="Заголовок 3 Знак"/>
    <w:basedOn w:val="988"/>
    <w:link w:val="987"/>
    <w:uiPriority w:val="9"/>
    <w:semiHidden/>
    <w:rPr>
      <w:rFonts w:asciiTheme="majorHAnsi" w:hAnsiTheme="majorHAnsi" w:eastAsiaTheme="majorEastAsia" w:cstheme="majorBidi"/>
      <w:color w:val="243f60" w:themeColor="accent1" w:themeShade="7F"/>
      <w:sz w:val="24"/>
      <w:szCs w:val="24"/>
    </w:rPr>
  </w:style>
  <w:style w:type="paragraph" w:styleId="1030" w:customStyle="1">
    <w:name w:val="Style17"/>
    <w:basedOn w:val="984"/>
    <w:uiPriority w:val="99"/>
    <w:pPr>
      <w:ind w:firstLine="706"/>
      <w:jc w:val="both"/>
      <w:spacing w:after="0" w:line="370" w:lineRule="exact"/>
      <w:widowControl w:val="off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1031" w:customStyle="1">
    <w:name w:val="u"/>
    <w:basedOn w:val="984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table" w:styleId="1032" w:customStyle="1">
    <w:name w:val="Сетка таблицы1"/>
    <w:basedOn w:val="989"/>
    <w:next w:val="1001"/>
    <w:uiPriority w:val="3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1033" w:customStyle="1">
    <w:name w:val="Абзац списка"/>
    <w:uiPriority w:val="34"/>
    <w:qFormat/>
    <w:pPr>
      <w:contextualSpacing/>
      <w:ind w:left="720" w:right="0" w:firstLine="709"/>
      <w:jc w:val="both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Calibri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8"/>
      <w:szCs w:val="28"/>
      <w:highlight w:val="none"/>
      <w:u w:val="none"/>
      <w:vertAlign w:val="baseline"/>
      <w:rtl w:val="0"/>
      <w:cs w:val="0"/>
      <w:lang w:val="ru-RU" w:eastAsia="en-US" w:bidi="ar-SA"/>
      <w14:ligatures w14:val="none"/>
    </w:rPr>
  </w:style>
  <w:style w:type="paragraph" w:styleId="1034" w:customStyle="1">
    <w:name w:val="Обычный (веб)"/>
    <w:uiPriority w:val="99"/>
    <w:unhideWhenUsed/>
    <w:pPr>
      <w:contextualSpacing w:val="0"/>
      <w:ind w:left="0" w:right="0" w:firstLine="0"/>
      <w:jc w:val="left"/>
      <w:keepLines w:val="0"/>
      <w:keepNext w:val="0"/>
      <w:pageBreakBefore w:val="0"/>
      <w:spacing w:before="100" w:beforeAutospacing="1" w:after="100" w:afterAutospacing="1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035" w:customStyle="1">
    <w:name w:val="Текст сноски"/>
    <w:uiPriority w:val="99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0"/>
      <w:szCs w:val="20"/>
      <w:highlight w:val="none"/>
      <w:u w:val="none"/>
      <w:vertAlign w:val="baseline"/>
      <w:rtl w:val="0"/>
      <w:cs w:val="0"/>
      <w:lang w:val="en-US" w:eastAsia="ru-RU" w:bidi="ar-SA"/>
      <w14:ligatures w14:val="none"/>
    </w:rPr>
  </w:style>
  <w:style w:type="character" w:styleId="1036" w:customStyle="1">
    <w:name w:val="Знак сноски"/>
    <w:uiPriority w:val="99"/>
    <w:semiHidden/>
    <w:rPr>
      <w:vertAlign w:val="superscript"/>
    </w:rPr>
  </w:style>
  <w:style w:type="paragraph" w:styleId="1037" w:customStyle="1">
    <w:name w:val="Style1"/>
    <w:uiPriority w:val="99"/>
    <w:pPr>
      <w:contextualSpacing w:val="0"/>
      <w:ind w:left="0" w:right="0" w:firstLine="713"/>
      <w:jc w:val="both"/>
      <w:keepLines w:val="0"/>
      <w:keepNext w:val="0"/>
      <w:pageBreakBefore w:val="0"/>
      <w:spacing w:before="0" w:beforeAutospacing="0" w:after="0" w:afterAutospacing="0" w:line="356" w:lineRule="exact"/>
      <w:shd w:val="nil"/>
      <w:widowControl w:val="off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038" w:customStyle="1">
    <w:name w:val="Default"/>
    <w:next w:val="985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Calibri" w:cs="Times New Roman"/>
      <w:b w:val="0"/>
      <w:bCs w:val="0"/>
      <w:i w:val="0"/>
      <w:iCs w:val="0"/>
      <w:caps w:val="0"/>
      <w:smallCaps w:val="0"/>
      <w:strike w:val="0"/>
      <w:vanish w:val="0"/>
      <w:color w:val="000000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en-US" w:bidi="ar-SA"/>
      <w14:ligatures w14:val="none"/>
    </w:rPr>
  </w:style>
  <w:style w:type="character" w:styleId="1039" w:customStyle="1">
    <w:name w:val="Гиперссылка"/>
    <w:uiPriority w:val="99"/>
    <w:rPr>
      <w:color w:val="0000ff"/>
      <w:u w:val="single"/>
    </w:rPr>
  </w:style>
  <w:style w:type="paragraph" w:styleId="1040" w:customStyle="1">
    <w:name w:val="Без интервала"/>
    <w:next w:val="894"/>
    <w:link w:val="822"/>
    <w:uiPriority w:val="1"/>
    <w:qFormat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Calibri" w:hAnsi="Calibri" w:eastAsia="Calibri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highlight w:val="none"/>
      <w:u w:val="none"/>
      <w:vertAlign w:val="baseline"/>
      <w:rtl w:val="0"/>
      <w:cs w:val="0"/>
      <w:lang w:val="ru-RU" w:eastAsia="en-US" w:bidi="ar-SA"/>
      <w14:ligatures w14:val="none"/>
    </w:rPr>
  </w:style>
  <w:style w:type="paragraph" w:styleId="1041" w:customStyle="1">
    <w:name w:val="Заголовок 3"/>
    <w:uiPriority w:val="9"/>
    <w:unhideWhenUsed/>
    <w:qFormat/>
    <w:pPr>
      <w:contextualSpacing w:val="0"/>
      <w:ind w:left="0" w:right="0" w:firstLine="709"/>
      <w:jc w:val="both"/>
      <w:keepLines w:val="0"/>
      <w:keepNext/>
      <w:pageBreakBefore w:val="0"/>
      <w:spacing w:before="240" w:beforeAutospacing="0" w:after="6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outlineLvl w:val="2"/>
      <w:suppressLineNumbers w:val="0"/>
    </w:pPr>
    <w:rPr>
      <w:rFonts w:ascii="Calibri Light" w:hAnsi="Calibri Light" w:eastAsia="Times New Roman" w:cs="Times New Roman"/>
      <w:b/>
      <w:bCs/>
      <w:i w:val="0"/>
      <w:iCs w:val="0"/>
      <w:caps w:val="0"/>
      <w:smallCaps w:val="0"/>
      <w:strike w:val="0"/>
      <w:vanish w:val="0"/>
      <w:color w:val="auto"/>
      <w:spacing w:val="0"/>
      <w:position w:val="0"/>
      <w:sz w:val="26"/>
      <w:szCs w:val="26"/>
      <w:highlight w:val="none"/>
      <w:u w:val="none"/>
      <w:vertAlign w:val="baseline"/>
      <w:rtl w:val="0"/>
      <w:cs w:val="0"/>
      <w:lang w:val="en-US" w:eastAsia="en-US" w:bidi="ar-SA"/>
      <w14:ligatures w14:val="none"/>
    </w:rPr>
  </w:style>
  <w:style w:type="paragraph" w:styleId="1042" w:customStyle="1">
    <w:name w:val="Text body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Calibri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8"/>
      <w:szCs w:val="20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043" w:customStyle="1">
    <w:name w:val="ConsPlusTitlePage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 w:val="off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ahoma" w:hAnsi="Tahoma" w:eastAsia="Times New Roman" w:cs="Tahoma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0"/>
      <w:szCs w:val="20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044" w:customStyle="1">
    <w:name w:val="Простой Текст"/>
    <w:qFormat/>
    <w:pPr>
      <w:contextualSpacing w:val="0"/>
      <w:ind w:left="0" w:right="0" w:firstLine="851"/>
      <w:jc w:val="both"/>
      <w:keepLines w:val="0"/>
      <w:keepNext w:val="0"/>
      <w:pageBreakBefore w:val="0"/>
      <w:spacing w:before="0" w:beforeAutospacing="0" w:after="160" w:afterAutospacing="0" w:line="36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Arial" w:hAnsi="Arial" w:eastAsia="Times New Roman" w:cstheme="minorBidi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header" Target="header2.xml" /><Relationship Id="rId11" Type="http://schemas.openxmlformats.org/officeDocument/2006/relationships/footer" Target="footer1.xml" /><Relationship Id="rId12" Type="http://schemas.openxmlformats.org/officeDocument/2006/relationships/customXml" Target="../customXml/item1.xml" /><Relationship Id="rId13" Type="http://schemas.openxmlformats.org/officeDocument/2006/relationships/image" Target="media/image1.jpg"/><Relationship Id="rId14" Type="http://schemas.openxmlformats.org/officeDocument/2006/relationships/hyperlink" Target="https://www.consultant.ru/document/cons_doc_LAW_529530/" TargetMode="External"/><Relationship Id="rId15" Type="http://schemas.openxmlformats.org/officeDocument/2006/relationships/hyperlink" Target="https://newsletters.consultant.ru/link/eyJlbWFpbF9pZCI6IjI0NzY2MCIsImNuIjoiMzI0MzpCTEQ6anVyaXN0IiwibGV0dGVyX2lkIjoiMzI0MyIsInVybCI6Imh0dHBzOlwvXC9sb2dpbi5jb25zdWx0YW50LnJ1XC9saW5rXC8_cmVxPWRvYyZiYXNlPUxBVyZuPTUyOTUzNCZkc3Q9MTAwMDA4JnNlbmQ9MSIsInNjb3BlIjoiQkxEIn0.1/" TargetMode="External"/><Relationship Id="rId16" Type="http://schemas.openxmlformats.org/officeDocument/2006/relationships/hyperlink" Target="https://www.consultant.ru/document/cons_doc_LAW_530911/" TargetMode="External"/><Relationship Id="rId17" Type="http://schemas.openxmlformats.org/officeDocument/2006/relationships/hyperlink" Target="https://newsletters.consultant.ru/link/eyJlbWFpbF9pZCI6IjI0NzY2MCIsImNuIjoiMzI5NzpCTEQ6anVyaXN0IiwibGV0dGVyX2lkIjoiMzI5NyIsInVybCI6Imh0dHBzOlwvXC9sb2dpbi5jb25zdWx0YW50LnJ1XC9saW5rXC8_cmVxPWRvYyZiYXNlPUxBVyZuPTUzMjAyOSZkc3Q9MCZzZW5kPTEiLCJzY29wZSI6IkJMRCJ9.1/" TargetMode="External"/><Relationship Id="rId18" Type="http://schemas.openxmlformats.org/officeDocument/2006/relationships/hyperlink" Target="https://newsletters.consultant.ru/link/eyJlbWFpbF9pZCI6IjI0NzY2MCIsImNuIjoiMzI5NzpCTEQ6anVyaXN0IiwibGV0dGVyX2lkIjoiMzI5NyIsInVybCI6Imh0dHBzOlwvXC9sb2dpbi5jb25zdWx0YW50LnJ1XC9saW5rXC8_cmVxPWRvYyZiYXNlPUxBVyZuPTUyNDY2NCZkc3Q9MTAwMDI1JnNlbmQ9MSIsInNjb3BlIjoiQkxEIn0.1/" TargetMode="External"/><Relationship Id="rId19" Type="http://schemas.openxmlformats.org/officeDocument/2006/relationships/hyperlink" Target="https://newsletters.consultant.ru/link/eyJlbWFpbF9pZCI6IjI0NzY2MCIsImNuIjoiMzI3OTpCTEQ6anVyaXN0IiwibGV0dGVyX2lkIjoiMzI3OSIsInVybCI6Imh0dHBzOlwvXC9sb2dpbi5jb25zdWx0YW50LnJ1XC9saW5rXC8_cmVxPWRvYyZiYXNlPUxBVyZuPTUxMTEwNyZkc3Q9MTAwMTY2JnNlbmQ9MSIsInNjb3BlIjoiQkxEIn0.1/" TargetMode="External"/><Relationship Id="rId20" Type="http://schemas.openxmlformats.org/officeDocument/2006/relationships/image" Target="media/image2.png"/><Relationship Id="rId21" Type="http://schemas.openxmlformats.org/officeDocument/2006/relationships/image" Target="media/image3.png"/><Relationship Id="rId22" Type="http://schemas.openxmlformats.org/officeDocument/2006/relationships/image" Target="media/image4.png"/><Relationship Id="rId23" Type="http://schemas.openxmlformats.org/officeDocument/2006/relationships/image" Target="media/image5.png"/><Relationship Id="rId24" Type="http://schemas.openxmlformats.org/officeDocument/2006/relationships/image" Target="media/image6.png"/><Relationship Id="rId25" Type="http://schemas.openxmlformats.org/officeDocument/2006/relationships/image" Target="media/image7.png"/><Relationship Id="rId26" Type="http://schemas.openxmlformats.org/officeDocument/2006/relationships/image" Target="media/image8.png"/><Relationship Id="rId27" Type="http://schemas.openxmlformats.org/officeDocument/2006/relationships/image" Target="media/image9.png"/><Relationship Id="rId28" Type="http://schemas.openxmlformats.org/officeDocument/2006/relationships/hyperlink" Target="https://rosreestr.gov.ru/about/struct/territorialnye-organy/" TargetMode="External"/><Relationship Id="rId29" Type="http://schemas.openxmlformats.org/officeDocument/2006/relationships/hyperlink" Target="https://www.gosuslugi.ru/625710/1/form" TargetMode="External"/><Relationship Id="rId30" Type="http://schemas.openxmlformats.org/officeDocument/2006/relationships/hyperlink" Target="https://rosreestr.gov.ru/upload/Doc/press/%D0%94%D0%90%D0%A7%D0%9D%D0%90%D0%AF%20%D0%90%D0%9C%D0%9D%D0%98%D0%A1%D0%A2%D0%98%D0%AF%201.0_%D0%A3-11-27112025.pdf" TargetMode="External"/><Relationship Id="rId31" Type="http://schemas.openxmlformats.org/officeDocument/2006/relationships/hyperlink" Target="https://rosreestr.gov.ru/upload/Doc/press/%D0%94%D0%90%D0%A7%D0%9D%D0%90%D0%AF%20%D0%90%D0%9C%D0%9D%D0%98%D0%A1%D0%A2%D0%98%D0%AF%201.0_%D0%A3-11-27112025.pdf" TargetMode="External"/><Relationship Id="rId32" Type="http://schemas.openxmlformats.org/officeDocument/2006/relationships/hyperlink" Target="https://www.gosuslugi.ru/" TargetMode="External"/><Relationship Id="rId33" Type="http://schemas.openxmlformats.org/officeDocument/2006/relationships/hyperlink" Target="https://www.consultant.ru/document/cons_doc_LAW_70088/2c520d7f0e03ab44100057c999f18af7c9913579/" TargetMode="External"/><Relationship Id="rId34" Type="http://schemas.openxmlformats.org/officeDocument/2006/relationships/hyperlink" Target="https://www.gosuslugi.ru/online-egrn" TargetMode="External"/><Relationship Id="rId35" Type="http://schemas.openxmlformats.org/officeDocument/2006/relationships/hyperlink" Target="https://max.ru/id5406299278_gos" TargetMode="External"/><Relationship Id="rId36" Type="http://schemas.openxmlformats.org/officeDocument/2006/relationships/hyperlink" Target="https://vk.com/rosreestr_nsk" TargetMode="External"/><Relationship Id="rId37" Type="http://schemas.openxmlformats.org/officeDocument/2006/relationships/hyperlink" Target="https://ok.ru/group/rosree" TargetMode="External"/><Relationship Id="rId38" Type="http://schemas.openxmlformats.org/officeDocument/2006/relationships/hyperlink" Target="https://pos.gosuslugi.ru/landing/" TargetMode="External"/><Relationship Id="rId39" Type="http://schemas.openxmlformats.org/officeDocument/2006/relationships/hyperlink" Target="https://www.gosuslugi.ru/" TargetMode="External"/><Relationship Id="rId40" Type="http://schemas.openxmlformats.org/officeDocument/2006/relationships/hyperlink" Target="https://rosreestr.gov.ru/" TargetMode="External"/><Relationship Id="rId41" Type="http://schemas.openxmlformats.org/officeDocument/2006/relationships/hyperlink" Target="https://max.ru/domclick_pro/AZ16p6mPeqM" TargetMode="External"/><Relationship Id="rId42" Type="http://schemas.openxmlformats.org/officeDocument/2006/relationships/hyperlink" Target="https://max.ru/domclick_pro/AZ16p6mPeqM." TargetMode="External"/><Relationship Id="rId43" Type="http://schemas.openxmlformats.org/officeDocument/2006/relationships/hyperlink" Target="https://rosreestr.gov.ru/" TargetMode="External"/><Relationship Id="rId44" Type="http://schemas.openxmlformats.org/officeDocument/2006/relationships/hyperlink" Target="https://kadastr.ru/" TargetMode="External"/><Relationship Id="rId45" Type="http://schemas.openxmlformats.org/officeDocument/2006/relationships/hyperlink" Target="https://www.gosuslugi.ru/" TargetMode="External"/><Relationship Id="rId46" Type="http://schemas.openxmlformats.org/officeDocument/2006/relationships/hyperlink" Target="https://nspd.gov.ru/map." TargetMode="External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_rels/header2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D1D05F-EA87-412F-94C7-22C86E3B37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Р7-Офис/2024.3.2.551</Application>
  <Company>Microsoft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ziaa</dc:creator>
  <cp:keywords/>
  <dc:description/>
  <cp:revision>90</cp:revision>
  <dcterms:created xsi:type="dcterms:W3CDTF">2023-01-26T03:20:00Z</dcterms:created>
  <dcterms:modified xsi:type="dcterms:W3CDTF">2026-05-07T03:55:11Z</dcterms:modified>
</cp:coreProperties>
</file>